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E76" w:rsidRDefault="00B30E76"/>
    <w:p w:rsidR="00EE4BF3" w:rsidRDefault="00EE4BF3"/>
    <w:p w:rsidR="00EE4BF3" w:rsidRDefault="00EE4BF3"/>
    <w:p w:rsidR="00A97687" w:rsidRDefault="00725BE4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  <w:r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 xml:space="preserve">Il rischio </w:t>
      </w:r>
      <w:proofErr w:type="spellStart"/>
      <w:r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>cardiometabol</w:t>
      </w:r>
      <w:r w:rsidR="00E956DD"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>ico</w:t>
      </w:r>
      <w:proofErr w:type="spellEnd"/>
      <w:r w:rsidR="00E956DD"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 xml:space="preserve"> negli anziani e le sue conse</w:t>
      </w:r>
      <w:r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>guenze.</w:t>
      </w:r>
    </w:p>
    <w:p w:rsidR="0004426C" w:rsidRDefault="0004426C" w:rsidP="00E00422">
      <w:pPr>
        <w:pStyle w:val="NormaleWeb"/>
        <w:shd w:val="clear" w:color="auto" w:fill="FFFFFF"/>
        <w:spacing w:after="480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</w:p>
    <w:p w:rsidR="001E0275" w:rsidRDefault="0004426C" w:rsidP="00E00422">
      <w:pPr>
        <w:pStyle w:val="NormaleWeb"/>
        <w:shd w:val="clear" w:color="auto" w:fill="FFFFFF"/>
        <w:spacing w:after="480"/>
        <w:rPr>
          <w:rFonts w:eastAsia="Times New Roman"/>
          <w:color w:val="025E8D"/>
          <w:sz w:val="34"/>
          <w:szCs w:val="34"/>
          <w:u w:val="single"/>
          <w:lang w:eastAsia="it-IT"/>
        </w:rPr>
      </w:pPr>
      <w:r w:rsidRPr="0004426C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L’ obesità </w:t>
      </w:r>
      <w:proofErr w:type="spellStart"/>
      <w:r w:rsidRPr="0004426C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sarcopenica</w:t>
      </w:r>
      <w:proofErr w:type="spellEnd"/>
      <w:r w:rsidRPr="0004426C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(OS)</w:t>
      </w:r>
      <w:r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 xml:space="preserve"> </w:t>
      </w:r>
      <w:r w:rsidR="00202855" w:rsidRPr="0004426C">
        <w:rPr>
          <w:rFonts w:ascii="Arial" w:eastAsia="Times New Roman" w:hAnsi="Arial" w:cs="Arial"/>
          <w:color w:val="222222"/>
          <w:szCs w:val="28"/>
          <w:lang w:eastAsia="it-IT"/>
        </w:rPr>
        <w:t xml:space="preserve">è </w:t>
      </w:r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una condizione clinica e funzionale caratterizzata dalla coesistenza di deficit di massa e funzione muscolare (sarcopenia)</w:t>
      </w:r>
      <w:r w:rsidR="00A53D6B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ed eccesso di tessuto adiposo. La OS ha una fisiopatologia complessa in cui </w:t>
      </w:r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due condizioni si inf</w:t>
      </w:r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luenzano negativamente</w:t>
      </w:r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.</w:t>
      </w:r>
      <w:r w:rsidR="00E00422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</w:t>
      </w:r>
      <w:r w:rsidR="00015AF4">
        <w:rPr>
          <w:rFonts w:eastAsia="Times New Roman"/>
          <w:color w:val="222222"/>
          <w:sz w:val="34"/>
          <w:szCs w:val="34"/>
          <w:lang w:eastAsia="it-IT"/>
        </w:rPr>
        <w:t>La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 xml:space="preserve"> composizione corporea </w:t>
      </w:r>
      <w:r w:rsidR="00015AF4">
        <w:rPr>
          <w:rFonts w:eastAsia="Times New Roman"/>
          <w:color w:val="222222"/>
          <w:sz w:val="34"/>
          <w:szCs w:val="34"/>
          <w:lang w:eastAsia="it-IT"/>
        </w:rPr>
        <w:t>si modifica con eccesso di massa grassa e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 xml:space="preserve"> deficit di massa musc</w:t>
      </w:r>
      <w:r w:rsidR="00A53D6B">
        <w:rPr>
          <w:rFonts w:eastAsia="Times New Roman"/>
          <w:color w:val="222222"/>
          <w:sz w:val="34"/>
          <w:szCs w:val="34"/>
          <w:lang w:eastAsia="it-IT"/>
        </w:rPr>
        <w:t xml:space="preserve">olare (sarcopenia); 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non esiste una definizione univoca di tale patologia in termini di criteri diagnostici e 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cut</w:t>
      </w:r>
      <w:proofErr w:type="spellEnd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-off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; per questo motivo, non è tuttora possibile determinarne la prevalenza precisa, né l’effettiva rilevanza clinica e funzionale. La prevalenza stimata varia i</w:t>
      </w:r>
      <w:r w:rsidR="00E00422">
        <w:rPr>
          <w:rFonts w:eastAsia="Times New Roman"/>
          <w:color w:val="222222"/>
          <w:sz w:val="34"/>
          <w:szCs w:val="34"/>
          <w:lang w:eastAsia="it-IT"/>
        </w:rPr>
        <w:t>nfatti dal 2,75 a oltre il 20%</w:t>
      </w:r>
      <w:r w:rsidR="001E0275">
        <w:rPr>
          <w:rFonts w:eastAsia="Times New Roman"/>
          <w:color w:val="025E8D"/>
          <w:sz w:val="34"/>
          <w:szCs w:val="34"/>
          <w:u w:val="single"/>
          <w:lang w:eastAsia="it-IT"/>
        </w:rPr>
        <w:t>.</w:t>
      </w:r>
    </w:p>
    <w:p w:rsidR="00E00422" w:rsidRPr="00E00422" w:rsidRDefault="001E0275" w:rsidP="00E00422">
      <w:pPr>
        <w:pStyle w:val="NormaleWeb"/>
        <w:shd w:val="clear" w:color="auto" w:fill="FFFFFF"/>
        <w:spacing w:after="480"/>
        <w:rPr>
          <w:rFonts w:eastAsia="Times New Roman"/>
          <w:color w:val="222222"/>
          <w:sz w:val="34"/>
          <w:szCs w:val="34"/>
          <w:lang w:eastAsia="it-IT"/>
        </w:rPr>
      </w:pPr>
      <w:r>
        <w:rPr>
          <w:rFonts w:eastAsia="Times New Roman"/>
          <w:color w:val="222222"/>
          <w:sz w:val="34"/>
          <w:szCs w:val="34"/>
          <w:lang w:eastAsia="it-IT"/>
        </w:rPr>
        <w:t>L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’evidenza suggerisce che 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Fat</w:t>
      </w:r>
      <w:proofErr w:type="spellEnd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 xml:space="preserve"> Free Mass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 (FFM) e 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Fat</w:t>
      </w:r>
      <w:proofErr w:type="spellEnd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 xml:space="preserve"> Mass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 (FM) siano soggette alla cosiddetta 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one</w:t>
      </w:r>
      <w:proofErr w:type="spellEnd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 xml:space="preserve"> 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quarter</w:t>
      </w:r>
      <w:proofErr w:type="spellEnd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 xml:space="preserve"> </w:t>
      </w:r>
      <w:proofErr w:type="spellStart"/>
      <w:r w:rsidR="00E00422" w:rsidRPr="00E00422">
        <w:rPr>
          <w:rFonts w:eastAsia="Times New Roman"/>
          <w:i/>
          <w:iCs/>
          <w:color w:val="222222"/>
          <w:sz w:val="34"/>
          <w:szCs w:val="34"/>
          <w:lang w:eastAsia="it-IT"/>
        </w:rPr>
        <w:t>rule</w:t>
      </w:r>
      <w:proofErr w:type="spellEnd"/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: per qualsiasi incremento del grasso corporeo, si verifica una variazione parallela di FFM, corrispondente approssimativ</w:t>
      </w:r>
      <w:r w:rsidR="00E00422">
        <w:rPr>
          <w:rFonts w:eastAsia="Times New Roman"/>
          <w:color w:val="222222"/>
          <w:sz w:val="34"/>
          <w:szCs w:val="34"/>
          <w:lang w:eastAsia="it-IT"/>
        </w:rPr>
        <w:t xml:space="preserve">amente al 25%. 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La perdita di massa e funzione muscolare può inoltre essere favorita dall’obesità come fattore di risc</w:t>
      </w:r>
      <w:r w:rsidR="00015AF4">
        <w:rPr>
          <w:rFonts w:eastAsia="Times New Roman"/>
          <w:color w:val="222222"/>
          <w:sz w:val="34"/>
          <w:szCs w:val="34"/>
          <w:lang w:eastAsia="it-IT"/>
        </w:rPr>
        <w:t xml:space="preserve">hio indipendente per le 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alterazioni ad essa correlate: l’infiammazione cronica di basso grado, l’aumento dello stress ossidativo, l’</w:t>
      </w:r>
      <w:proofErr w:type="spellStart"/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insulino</w:t>
      </w:r>
      <w:proofErr w:type="spellEnd"/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-resistenza (con diminuzione della capacità anabolica della muscolatura striata, oltre al peggioramento del profilo glucidico), lo stile di vita sedentario e la maggiore incidenza di malattie croniche che possono avere un impatto nega</w:t>
      </w:r>
      <w:r w:rsidR="00C446CB">
        <w:rPr>
          <w:rFonts w:eastAsia="Times New Roman"/>
          <w:color w:val="222222"/>
          <w:sz w:val="34"/>
          <w:szCs w:val="34"/>
          <w:lang w:eastAsia="it-IT"/>
        </w:rPr>
        <w:t xml:space="preserve">tivo sul catabolismo muscolare 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. L’infiammazione cronica di basso</w:t>
      </w:r>
      <w:r w:rsidR="00A53D6B">
        <w:rPr>
          <w:rFonts w:eastAsia="Times New Roman"/>
          <w:color w:val="222222"/>
          <w:sz w:val="34"/>
          <w:szCs w:val="34"/>
          <w:lang w:eastAsia="it-IT"/>
        </w:rPr>
        <w:t xml:space="preserve"> </w:t>
      </w:r>
      <w:proofErr w:type="gramStart"/>
      <w:r w:rsidR="00A53D6B">
        <w:rPr>
          <w:rFonts w:eastAsia="Times New Roman"/>
          <w:color w:val="222222"/>
          <w:sz w:val="34"/>
          <w:szCs w:val="34"/>
          <w:lang w:eastAsia="it-IT"/>
        </w:rPr>
        <w:t xml:space="preserve">grado </w:t>
      </w:r>
      <w:r w:rsidR="00C446CB">
        <w:rPr>
          <w:rFonts w:eastAsia="Times New Roman"/>
          <w:color w:val="222222"/>
          <w:sz w:val="34"/>
          <w:szCs w:val="34"/>
          <w:lang w:eastAsia="it-IT"/>
        </w:rPr>
        <w:t xml:space="preserve"> diminuisce</w:t>
      </w:r>
      <w:proofErr w:type="gramEnd"/>
      <w:r w:rsidR="00C446CB">
        <w:rPr>
          <w:rFonts w:eastAsia="Times New Roman"/>
          <w:color w:val="222222"/>
          <w:sz w:val="34"/>
          <w:szCs w:val="34"/>
          <w:lang w:eastAsia="it-IT"/>
        </w:rPr>
        <w:t xml:space="preserve">  </w:t>
      </w:r>
      <w:r w:rsidR="00E00422" w:rsidRPr="00E00422">
        <w:rPr>
          <w:rFonts w:eastAsia="Times New Roman"/>
          <w:color w:val="222222"/>
          <w:sz w:val="34"/>
          <w:szCs w:val="34"/>
          <w:lang w:eastAsia="it-IT"/>
        </w:rPr>
        <w:t>la funzione anabolica muscolare, mediata dalle variazioni della produzione di fattor</w:t>
      </w:r>
      <w:r w:rsidR="00E00422">
        <w:rPr>
          <w:rFonts w:eastAsia="Times New Roman"/>
          <w:color w:val="222222"/>
          <w:sz w:val="34"/>
          <w:szCs w:val="34"/>
          <w:lang w:eastAsia="it-IT"/>
        </w:rPr>
        <w:t>i fra</w:t>
      </w:r>
      <w:r w:rsidR="001048A2">
        <w:rPr>
          <w:rFonts w:eastAsia="Times New Roman"/>
          <w:color w:val="222222"/>
          <w:sz w:val="34"/>
          <w:szCs w:val="34"/>
          <w:lang w:eastAsia="it-IT"/>
        </w:rPr>
        <w:t xml:space="preserve"> i quali TNF, IL-6, </w:t>
      </w:r>
      <w:proofErr w:type="spellStart"/>
      <w:r w:rsidR="001048A2">
        <w:rPr>
          <w:rFonts w:eastAsia="Times New Roman"/>
          <w:color w:val="222222"/>
          <w:sz w:val="34"/>
          <w:szCs w:val="34"/>
          <w:lang w:eastAsia="it-IT"/>
        </w:rPr>
        <w:t>leptina</w:t>
      </w:r>
      <w:proofErr w:type="spellEnd"/>
      <w:r w:rsidR="001048A2">
        <w:rPr>
          <w:rFonts w:eastAsia="Times New Roman"/>
          <w:color w:val="222222"/>
          <w:sz w:val="34"/>
          <w:szCs w:val="34"/>
          <w:lang w:eastAsia="it-IT"/>
        </w:rPr>
        <w:t>, GH (</w:t>
      </w:r>
      <w:r w:rsidR="001048A2">
        <w:rPr>
          <w:rFonts w:ascii="Helvetica" w:hAnsi="Helvetica"/>
          <w:color w:val="222222"/>
          <w:sz w:val="30"/>
          <w:szCs w:val="30"/>
          <w:shd w:val="clear" w:color="auto" w:fill="FFFFFF"/>
        </w:rPr>
        <w:t> </w:t>
      </w:r>
      <w:r w:rsidR="001048A2">
        <w:rPr>
          <w:rFonts w:ascii="Helvetica" w:hAnsi="Helvetica"/>
          <w:i/>
          <w:iCs/>
          <w:color w:val="222222"/>
          <w:sz w:val="30"/>
          <w:szCs w:val="30"/>
          <w:shd w:val="clear" w:color="auto" w:fill="FFFFFF"/>
        </w:rPr>
        <w:t>L'Endocrinologo</w:t>
      </w:r>
      <w:r w:rsidR="001048A2"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 2020; </w:t>
      </w:r>
      <w:r w:rsidR="001048A2">
        <w:rPr>
          <w:rFonts w:ascii="Helvetica" w:hAnsi="Helvetica"/>
          <w:b/>
          <w:bCs/>
          <w:color w:val="222222"/>
          <w:sz w:val="30"/>
          <w:szCs w:val="30"/>
          <w:shd w:val="clear" w:color="auto" w:fill="FFFFFF"/>
        </w:rPr>
        <w:t>21</w:t>
      </w:r>
      <w:r w:rsidR="001048A2">
        <w:rPr>
          <w:rFonts w:ascii="Helvetica" w:hAnsi="Helvetica"/>
          <w:color w:val="222222"/>
          <w:sz w:val="30"/>
          <w:szCs w:val="30"/>
          <w:shd w:val="clear" w:color="auto" w:fill="FFFFFF"/>
        </w:rPr>
        <w:t>, 354–358)</w:t>
      </w:r>
      <w:r w:rsidR="00C446CB">
        <w:rPr>
          <w:rFonts w:ascii="Helvetica" w:hAnsi="Helvetica"/>
          <w:color w:val="222222"/>
          <w:sz w:val="30"/>
          <w:szCs w:val="30"/>
          <w:shd w:val="clear" w:color="auto" w:fill="FFFFFF"/>
        </w:rPr>
        <w:t>.</w:t>
      </w:r>
    </w:p>
    <w:p w:rsidR="00015AF4" w:rsidRDefault="00E00422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lastRenderedPageBreak/>
        <w:t>Studi recenti dimostrano che l’adiposità, soprattutto quella di tipo viscerale, determina alterazioni dell’asse GH/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Insulin</w:t>
      </w:r>
      <w:proofErr w:type="spellEnd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 xml:space="preserve"> Like 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Growht</w:t>
      </w:r>
      <w:proofErr w:type="spellEnd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 xml:space="preserve"> 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Factor</w:t>
      </w:r>
      <w:proofErr w:type="spellEnd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 xml:space="preserve"> 1</w:t>
      </w:r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 (IGF 1) in grado di favorire il depauperamento muscolare, indipendentemente da età e sesso [</w:t>
      </w:r>
      <w:hyperlink r:id="rId5" w:anchor="ref-CR5" w:tooltip="&#10;Berryman DE, Glad CA, List EO, Johannsson G (2013) The GH/IGF-1 axis in obesity: pathophysiology and therapeutic considerations. Nat Rev Endocrinol 9:346–356&#10;" w:history="1">
        <w:r w:rsidRPr="00E00422">
          <w:rPr>
            <w:rFonts w:ascii="Times New Roman" w:eastAsia="Times New Roman" w:hAnsi="Times New Roman" w:cs="Times New Roman"/>
            <w:color w:val="025E8D"/>
            <w:sz w:val="34"/>
            <w:szCs w:val="34"/>
            <w:u w:val="single"/>
            <w:lang w:eastAsia="it-IT"/>
          </w:rPr>
          <w:t>5</w:t>
        </w:r>
      </w:hyperlink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]. Sia l’invecchiamento che l’obesità favoriscono, inoltre, l’accumulo di tessuto adiposo in sede ectopica, in particolare a livello del fegato, del midollo osseo e del muscolo scheletrico, sostenendo fenomeni di </w:t>
      </w:r>
      <w:proofErr w:type="spellStart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lipotossicità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 e infiammazione. A livello intramuscolare il grasso si accumula prevalentemente tra i diversi gruppi muscolari, delimitato dalle fasce. Viene descritto con l’acronimo IMAT (</w:t>
      </w:r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Intra-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Muscolar</w:t>
      </w:r>
      <w:proofErr w:type="spellEnd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 xml:space="preserve"> Adipose 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Tissue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) e può essere quantificato mediante risonanza magnetica nucleare (MRI). La presenza di IMAT può promuovere alterazioni della differenziazione delle cellule mesenchimali progenitrici, compromettendo il potenziale rigenerativo del muscolo e stimolando l’instaurazione di processi di fibrosi. Gli </w:t>
      </w:r>
      <w:proofErr w:type="spellStart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adipociti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 a livello muscolare inoltre secernono ormoni paracrini e citochine pro-infiammatorie che promuovono un ciclo di </w:t>
      </w:r>
      <w:proofErr w:type="spellStart"/>
      <w:r w:rsidRPr="00E00422">
        <w:rPr>
          <w:rFonts w:ascii="Times New Roman" w:eastAsia="Times New Roman" w:hAnsi="Times New Roman" w:cs="Times New Roman"/>
          <w:i/>
          <w:iCs/>
          <w:color w:val="222222"/>
          <w:sz w:val="34"/>
          <w:szCs w:val="34"/>
          <w:lang w:eastAsia="it-IT"/>
        </w:rPr>
        <w:t>feedforward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 producendo lipidi intra-</w:t>
      </w:r>
      <w:proofErr w:type="spellStart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miocellulari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. Questa </w:t>
      </w:r>
      <w:proofErr w:type="spellStart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lipotossicità</w:t>
      </w:r>
      <w:proofErr w:type="spellEnd"/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 compromette la contrattilità delle fibre muscolari e interferisce con la sintesi proteica muscol</w:t>
      </w:r>
      <w:r w:rsidR="00015AF4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>are, esacerbando la sarcopenia</w:t>
      </w:r>
      <w:r w:rsidR="00015AF4">
        <w:rPr>
          <w:rFonts w:ascii="Times New Roman" w:eastAsia="Times New Roman" w:hAnsi="Times New Roman" w:cs="Times New Roman"/>
          <w:color w:val="025E8D"/>
          <w:sz w:val="34"/>
          <w:szCs w:val="34"/>
          <w:u w:val="single"/>
          <w:lang w:eastAsia="it-IT"/>
        </w:rPr>
        <w:t>.</w:t>
      </w:r>
      <w:r w:rsidRPr="00E00422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 La deposizione lipidica può verificarsi anche in spazi precedentemente occupati dai muscoli, compromettendo la cresci</w:t>
      </w:r>
      <w:r w:rsidR="00015AF4"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  <w:t xml:space="preserve">ta del nuovo tessuto muscolare. </w:t>
      </w:r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Non è certa la sua reale prevalenza; inoltre la metodologia per identificarla non è disponibile diffusamente anche se </w:t>
      </w:r>
      <w:proofErr w:type="gramStart"/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l’ OS</w:t>
      </w:r>
      <w:proofErr w:type="gramEnd"/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 comporta </w:t>
      </w:r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rischio elevato di </w:t>
      </w:r>
      <w:proofErr w:type="spellStart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comorbilità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, ospedalizzazioni, mortalità e</w:t>
      </w:r>
      <w:r w:rsidR="00494E92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a ridotta qualità di vita. </w:t>
      </w:r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Le Società Scientifiche 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European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Society for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Clinical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Nutrition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and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Metabolism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 (ESPEN) e 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European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Association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for the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study</w:t>
      </w:r>
      <w:proofErr w:type="spellEnd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of </w:t>
      </w:r>
      <w:proofErr w:type="spellStart"/>
      <w:r w:rsidR="00202855"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Obesity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 (EASO) hanno recente</w:t>
      </w:r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mente pubblicato una </w:t>
      </w:r>
      <w:proofErr w:type="spellStart"/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Consensus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il cui obiettivo è stato quello di individuare una definizione univoca e universalmente adottabile di OS e criteri diagnostici condivisi a livello globale. La </w:t>
      </w:r>
      <w:proofErr w:type="spellStart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Consensus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si è proposta di stabilire quali parametri diagnostici utilizzare, se valutare l’obesità e la sarcopenia attraverso un unico indice o separatamente, se e come prendere in considerazione la funzione muscolare, quali metodologie applicare in ambito clinico e di ricerca. La procedura di consenso ha coinvolto 38 ricercatori (esperti a livello mondiale di studi su composizione corporea, sarcopenia, obesità) e ha seguito la tecnica </w:t>
      </w:r>
      <w:proofErr w:type="spellStart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Delphi</w:t>
      </w:r>
      <w:proofErr w:type="spellEnd"/>
      <w:r w:rsidR="00202855"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attraverso questionari online che venivano votati secondo 5 livelli di accordo dal gruppo di esperti. </w:t>
      </w:r>
    </w:p>
    <w:p w:rsidR="00015AF4" w:rsidRDefault="00015AF4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202855" w:rsidRPr="00015AF4" w:rsidRDefault="00202855" w:rsidP="00015AF4">
      <w:pPr>
        <w:shd w:val="clear" w:color="auto" w:fill="FFFFFF"/>
        <w:spacing w:after="480" w:line="240" w:lineRule="auto"/>
        <w:rPr>
          <w:rFonts w:ascii="Times New Roman" w:eastAsia="Times New Roman" w:hAnsi="Times New Roman" w:cs="Times New Roman"/>
          <w:color w:val="222222"/>
          <w:sz w:val="34"/>
          <w:szCs w:val="34"/>
          <w:lang w:eastAsia="it-IT"/>
        </w:rPr>
      </w:pP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lastRenderedPageBreak/>
        <w:t>Le dichiarazioni che soddisfacevano la soglia di accordo del 75% venivano considerate nel passaggio successivo e ulteriormente elaborate sulla base delle proposte espresse.</w:t>
      </w:r>
    </w:p>
    <w:p w:rsidR="00494E92" w:rsidRPr="00D9651F" w:rsidRDefault="00494E92" w:rsidP="0020285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494E92" w:rsidRPr="00D9651F" w:rsidRDefault="00494E92" w:rsidP="0020285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 w:rsidRPr="00D9651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0FF37BB2" wp14:editId="3492A4F9">
            <wp:extent cx="5417820" cy="3284220"/>
            <wp:effectExtent l="0" t="0" r="0" b="0"/>
            <wp:docPr id="3" name="Immagine 3" descr="https://ars.els-cdn.com/content/image/1-s2.0-S0026049523002433-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s.els-cdn.com/content/image/1-s2.0-S0026049523002433-g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92" w:rsidRPr="00D9651F" w:rsidRDefault="00494E92" w:rsidP="0020285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015AF4" w:rsidRDefault="00202855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La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Consensus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propone, quindi, un percorso diagnostico strutturato in 3 fasi: screening, diagnosi e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stadia</w:t>
      </w:r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zione</w:t>
      </w:r>
      <w:proofErr w:type="spellEnd"/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. </w:t>
      </w:r>
      <w:proofErr w:type="gramStart"/>
      <w:r w:rsid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Il </w:t>
      </w: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processo</w:t>
      </w:r>
      <w:proofErr w:type="gram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di screening è stato strutturato per essere pratico, economico, rapido, sensibile ed eseguibile anche in contesti non specialistici (es. studi di medicina generale). L’utilizzo del </w:t>
      </w:r>
      <w:r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body mass </w:t>
      </w:r>
      <w:proofErr w:type="spellStart"/>
      <w:r w:rsidRPr="00D9651F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index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 (BMI) è considerato accettabile in questa fase per la facilità e l’ampio utilizzo, nonostante i suoi limiti nella valutazione della composizione corporea. È affiancato dalla misurazione della circonferenza vita (WC), che permette l’inclusione di soggetti “normopeso” secondo il BMI, e dalla valutazione del rischio cardiovascolare legato al grasso viscerale e all’impatto catabolico dello stesso sul muscolo. BMI e WC sono affiancati, in fase di screening, da fattori di sospetto clinico di sarcopenia tra cui età,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comorbilità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, patologie acute, ospedalizzazioni, chirurgia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bariatrica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o sintomi come cadute ripetute o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affaticabilità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;</w:t>
      </w:r>
    </w:p>
    <w:p w:rsidR="007C3BA3" w:rsidRDefault="00015AF4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it-IT"/>
        </w:rPr>
        <w:t>Se è possibile l’</w:t>
      </w:r>
      <w:r w:rsidR="00202855"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uso di metodologie che valu</w:t>
      </w:r>
      <w:r w:rsidR="007C3BA3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tano la composizione corporea. p</w:t>
      </w:r>
      <w:r w:rsidR="00202855"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er definire la sarcopenia è stato scelto il parametro massa magra appendicolare (ALM)/peso (W), mentre per l’obesità la </w:t>
      </w:r>
      <w:proofErr w:type="spellStart"/>
      <w:r w:rsidR="00202855"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Consensus</w:t>
      </w:r>
      <w:proofErr w:type="spellEnd"/>
      <w:r w:rsidR="00202855"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propone il </w:t>
      </w:r>
    </w:p>
    <w:p w:rsidR="007C3BA3" w:rsidRDefault="007C3BA3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7C3BA3" w:rsidRDefault="007C3BA3" w:rsidP="00015AF4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5B299F" w:rsidRPr="007C3BA3" w:rsidRDefault="00202855" w:rsidP="007C3BA3">
      <w:pPr>
        <w:shd w:val="clear" w:color="auto" w:fill="FFFFFF"/>
        <w:spacing w:after="48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rapporto massa grassa in percentuale (FM%)/peso (W). La ridotta funzione muscolare (definita attraverso 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hand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grip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strength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test</w:t>
      </w:r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, forza di estensione massima del ginocchio e 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chair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stand test</w:t>
      </w:r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) rientra inoltre nella diagnosi, in quanto associata a minore qualità del muscolo scheletrico, qualità di vita e sopravvivenza. È raccomandato l’utilizzo di valori soglia di normalità specifici per etnia, età e sesso. Nella pratica clinica sono state individuate, per la valutazione della composizione corporea, la 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dual-energy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X-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ray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absorptiometry</w:t>
      </w:r>
      <w:proofErr w:type="spellEnd"/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 (DXA) come prima metodologia di scelta, la </w:t>
      </w:r>
      <w:proofErr w:type="spellStart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>Bioimpedance</w:t>
      </w:r>
      <w:proofErr w:type="spellEnd"/>
      <w:r w:rsidRPr="00015AF4">
        <w:rPr>
          <w:rFonts w:ascii="Arial" w:eastAsia="Times New Roman" w:hAnsi="Arial" w:cs="Arial"/>
          <w:i/>
          <w:iCs/>
          <w:color w:val="222222"/>
          <w:sz w:val="28"/>
          <w:szCs w:val="28"/>
          <w:lang w:eastAsia="it-IT"/>
        </w:rPr>
        <w:t xml:space="preserve"> Analysis</w:t>
      </w:r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 (BIA) come seconda. Quando possibile, è consigliata la valutazione della distribuzione del tessuto adiposo e della </w:t>
      </w:r>
      <w:proofErr w:type="spellStart"/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miosteatosi</w:t>
      </w:r>
      <w:proofErr w:type="spellEnd"/>
      <w:r w:rsidRPr="00015AF4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. In ambito scientifico il problema si complica ulteriormente. </w:t>
      </w:r>
      <w:r w:rsidR="007C3BA3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L</w:t>
      </w: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a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Stad</w:t>
      </w:r>
      <w:r w:rsidR="007C3BA3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iazione</w:t>
      </w:r>
      <w:proofErr w:type="spellEnd"/>
      <w:r w:rsidR="007C3BA3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proposta </w:t>
      </w: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identifica</w:t>
      </w:r>
      <w:r w:rsidR="007C3BA3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</w:t>
      </w:r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i pazienti a maggior rischio (caratterizzati da </w:t>
      </w:r>
      <w:proofErr w:type="spellStart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comorbidità</w:t>
      </w:r>
      <w:proofErr w:type="spellEnd"/>
      <w:r w:rsidRPr="00D9651F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metaboliche, cardiorespiratorie o disabilità funzionali) che necessitano di cure e follow-up più stringenti.</w:t>
      </w:r>
      <w:r w:rsidR="001E0275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 (</w:t>
      </w:r>
      <w:hyperlink r:id="rId7" w:history="1">
        <w:r w:rsidR="001E0275" w:rsidRPr="00676DF3">
          <w:rPr>
            <w:rStyle w:val="Collegamentoipertestuale"/>
            <w:rFonts w:ascii="Arial" w:eastAsia="Times New Roman" w:hAnsi="Arial" w:cs="Arial"/>
            <w:sz w:val="28"/>
            <w:szCs w:val="28"/>
            <w:lang w:eastAsia="it-IT"/>
          </w:rPr>
          <w:t>https://link.springer.com/article/10.1007/s40619-022-01138-w</w:t>
        </w:r>
      </w:hyperlink>
      <w:r w:rsidR="001E0275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).  </w:t>
      </w:r>
    </w:p>
    <w:p w:rsidR="005B299F" w:rsidRPr="00D9651F" w:rsidRDefault="005B299F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</w:p>
    <w:p w:rsidR="00A97687" w:rsidRPr="00D9651F" w:rsidRDefault="005B299F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 w:rsidRPr="00D9651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24BEC7BF" wp14:editId="5A00824E">
            <wp:extent cx="6120130" cy="3446148"/>
            <wp:effectExtent l="0" t="0" r="0" b="1905"/>
            <wp:docPr id="2" name="Immagine 2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99F" w:rsidRDefault="005B299F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  <w:r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  <w:t xml:space="preserve"> </w:t>
      </w:r>
    </w:p>
    <w:p w:rsidR="005B299F" w:rsidRDefault="007C3BA3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</w:t>
      </w:r>
      <w:r w:rsidR="005B299F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uò essere sufficiente disporre di a</w:t>
      </w:r>
      <w:r w:rsidR="001E027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lcune misure antropometriche e di </w:t>
      </w:r>
      <w:r w:rsidR="005B299F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indici di forza muscolare almeno nell’ </w:t>
      </w:r>
      <w:r w:rsidR="00E061E7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ambito della geriatria pratica</w:t>
      </w:r>
      <w:r w:rsidR="001E027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:</w:t>
      </w:r>
      <w:r w:rsidR="00E061E7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I meccanismi </w:t>
      </w:r>
      <w:proofErr w:type="gramStart"/>
      <w:r w:rsidR="00E061E7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fisiopatologici </w:t>
      </w:r>
      <w:r w:rsidR="001E027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coinvolti</w:t>
      </w:r>
      <w:proofErr w:type="gramEnd"/>
      <w:r w:rsidR="001E027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nella OS sono schematizzati </w:t>
      </w: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come nella figura </w:t>
      </w: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lastRenderedPageBreak/>
        <w:t xml:space="preserve">seguente che </w:t>
      </w:r>
      <w:r w:rsidR="008B0775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evidenzia anche la sistematicità degli effetti dell’ eccesso di tessuto adiposo</w:t>
      </w:r>
      <w:r w:rsidR="00E061E7" w:rsidRPr="00D9651F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:</w:t>
      </w:r>
    </w:p>
    <w:p w:rsidR="00C26577" w:rsidRPr="00D9651F" w:rsidRDefault="00C26577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</w:p>
    <w:p w:rsidR="00E061E7" w:rsidRDefault="00E061E7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  <w:r>
        <w:rPr>
          <w:noProof/>
          <w:lang w:eastAsia="it-IT"/>
        </w:rPr>
        <w:drawing>
          <wp:inline distT="0" distB="0" distL="0" distR="0" wp14:anchorId="35C00CD6" wp14:editId="0CB31F88">
            <wp:extent cx="6120130" cy="3191398"/>
            <wp:effectExtent l="0" t="0" r="0" b="9525"/>
            <wp:docPr id="4" name="Immagine 4" descr="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.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AB" w:rsidRPr="006D44D5" w:rsidRDefault="00FB4AAB" w:rsidP="007C3B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708"/>
        <w:jc w:val="both"/>
        <w:rPr>
          <w:rFonts w:ascii="Arial" w:eastAsia="Times New Roman" w:hAnsi="Arial" w:cs="Arial"/>
          <w:color w:val="1F1F1F"/>
          <w:lang w:eastAsia="it-IT"/>
        </w:rPr>
      </w:pPr>
      <w:r w:rsidRPr="006D44D5">
        <w:rPr>
          <w:rFonts w:ascii="Arial" w:eastAsia="Times New Roman" w:hAnsi="Arial" w:cs="Arial"/>
          <w:color w:val="1F1F1F"/>
          <w:lang w:eastAsia="it-IT"/>
        </w:rPr>
        <w:t xml:space="preserve">Nella figura sopra sono schematizzati gli effetti </w:t>
      </w:r>
      <w:proofErr w:type="gramStart"/>
      <w:r w:rsidRPr="006D44D5">
        <w:rPr>
          <w:rFonts w:ascii="Arial" w:eastAsia="Times New Roman" w:hAnsi="Arial" w:cs="Arial"/>
          <w:color w:val="1F1F1F"/>
          <w:lang w:eastAsia="it-IT"/>
        </w:rPr>
        <w:t>dell’ aumentata</w:t>
      </w:r>
      <w:proofErr w:type="gramEnd"/>
      <w:r w:rsidRPr="006D44D5">
        <w:rPr>
          <w:rFonts w:ascii="Arial" w:eastAsia="Times New Roman" w:hAnsi="Arial" w:cs="Arial"/>
          <w:color w:val="1F1F1F"/>
          <w:lang w:eastAsia="it-IT"/>
        </w:rPr>
        <w:t xml:space="preserve"> adiposità che è spesso presente nell’ anziano. Si parla di effetto domino </w:t>
      </w:r>
      <w:proofErr w:type="gramStart"/>
      <w:r w:rsidRPr="006D44D5">
        <w:rPr>
          <w:rFonts w:ascii="Arial" w:eastAsia="Times New Roman" w:hAnsi="Arial" w:cs="Arial"/>
          <w:color w:val="1F1F1F"/>
          <w:lang w:eastAsia="it-IT"/>
        </w:rPr>
        <w:t>dell’ adiposità</w:t>
      </w:r>
      <w:proofErr w:type="gramEnd"/>
      <w:r w:rsidRPr="006D44D5">
        <w:rPr>
          <w:rFonts w:ascii="Arial" w:eastAsia="Times New Roman" w:hAnsi="Arial" w:cs="Arial"/>
          <w:color w:val="1F1F1F"/>
          <w:lang w:eastAsia="it-IT"/>
        </w:rPr>
        <w:t xml:space="preserve">  che si espleta anche per l’ intervento dei ROS e della flogosi sistemica  che contribuiscono al danno delle pareti arteriose  e concorrendo al malfunzionam</w:t>
      </w:r>
      <w:r w:rsidR="00D9651F">
        <w:rPr>
          <w:rFonts w:ascii="Arial" w:eastAsia="Times New Roman" w:hAnsi="Arial" w:cs="Arial"/>
          <w:color w:val="1F1F1F"/>
          <w:lang w:eastAsia="it-IT"/>
        </w:rPr>
        <w:t>ento mitocondriale (</w:t>
      </w:r>
      <w:proofErr w:type="spellStart"/>
      <w:r w:rsidR="00D9651F">
        <w:t>GeroScience</w:t>
      </w:r>
      <w:proofErr w:type="spellEnd"/>
      <w:r w:rsidR="00D9651F">
        <w:t xml:space="preserve"> (2022) 44:1393–1405). </w:t>
      </w:r>
    </w:p>
    <w:p w:rsidR="00A97687" w:rsidRPr="00FB4AAB" w:rsidRDefault="00A97687" w:rsidP="007C3B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708"/>
        <w:jc w:val="both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</w:p>
    <w:p w:rsidR="00EE4BF3" w:rsidRPr="00A00552" w:rsidRDefault="007C3BA3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Il BMI non </w:t>
      </w:r>
      <w:proofErr w:type="gramStart"/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sembra  rappresentare</w:t>
      </w:r>
      <w:proofErr w:type="gramEnd"/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la quantità di tessuto adiposo e il rischio correlato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di malattia e mortalità ne</w:t>
      </w: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>gli anz</w:t>
      </w:r>
      <w:r w:rsidR="001E027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iani rispetto ai giovani; si  consiglia di  utilizzare anche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misure antropometriche, tra cui la circonferenza della vita e il rapporto vita-fianchi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come migliori surrogati dell’adiposità centrale, in combinazione con </w:t>
      </w: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misure della funzione muscolare; questi semplici test consentono anche uno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screening iniziale dell’obesità e della </w:t>
      </w:r>
      <w:r w:rsidR="006C5B79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obesità </w:t>
      </w:r>
      <w:proofErr w:type="spellStart"/>
      <w:r w:rsidR="006C5B79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sarcopenica</w:t>
      </w:r>
      <w:proofErr w:type="spellEnd"/>
      <w:r w:rsidR="006C5B79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(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SO</w:t>
      </w:r>
      <w:r w:rsidR="006C5B79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)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negli anziani.</w:t>
      </w: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 Il problema che segue è quello di interven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ire con indicazioni qualificate come gli </w:t>
      </w:r>
      <w:proofErr w:type="spellStart"/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nterventi</w:t>
      </w:r>
      <w:proofErr w:type="spellEnd"/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sullo stile di vita che consistono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lastRenderedPageBreak/>
        <w:t xml:space="preserve">in una combinazione di cambiamenti </w:t>
      </w:r>
      <w:r w:rsidR="00EE4BF3" w:rsidRPr="007C3BA3">
        <w:rPr>
          <w:rFonts w:ascii="Arial" w:eastAsia="Times New Roman" w:hAnsi="Arial" w:cs="Arial"/>
          <w:color w:val="1F1F1F"/>
          <w:sz w:val="28"/>
          <w:szCs w:val="28"/>
          <w:u w:val="single"/>
          <w:lang w:eastAsia="it-IT"/>
        </w:rPr>
        <w:t>dietetici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e </w:t>
      </w:r>
      <w:proofErr w:type="gramStart"/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di 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allenamen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to</w:t>
      </w:r>
      <w:proofErr w:type="gramEnd"/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aerobico e 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con esercizi di resistenza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; questi 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sono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generalmente il trattamento di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prima scelta (se possibili) 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negli anziani anche per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EE4BF3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prevenire il peggioramento della sarcopenia e il declino della massa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muscolare e della funzionalità 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complessiva.</w:t>
      </w:r>
    </w:p>
    <w:p w:rsidR="00EE4BF3" w:rsidRPr="00A00552" w:rsidRDefault="00EE4BF3" w:rsidP="00EE4B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La farmacoterapia ha generalmente mostrato un'e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fficacia simile ma</w:t>
      </w:r>
      <w:r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maggiori effetti </w:t>
      </w:r>
      <w:proofErr w:type="gramStart"/>
      <w:r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avversi</w:t>
      </w:r>
      <w:r w:rsidR="00740211"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 </w:t>
      </w:r>
      <w:r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per</w:t>
      </w:r>
      <w:proofErr w:type="gramEnd"/>
      <w:r w:rsidRPr="00A0055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alcuni farmaci, negli anziani rispetto ai giov</w:t>
      </w:r>
      <w:r w:rsidR="007C3BA3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ani. </w:t>
      </w:r>
    </w:p>
    <w:p w:rsidR="00EE4BF3" w:rsidRPr="00A00552" w:rsidRDefault="00EE4BF3" w:rsidP="00EE4BF3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1F1F1F"/>
          <w:sz w:val="28"/>
          <w:szCs w:val="28"/>
          <w:lang w:eastAsia="it-IT"/>
        </w:rPr>
      </w:pPr>
    </w:p>
    <w:p w:rsidR="00EE4BF3" w:rsidRPr="00A00552" w:rsidRDefault="00740211">
      <w:pPr>
        <w:rPr>
          <w:rFonts w:ascii="Arial" w:hAnsi="Arial" w:cs="Arial"/>
          <w:sz w:val="28"/>
          <w:szCs w:val="28"/>
        </w:rPr>
      </w:pPr>
      <w:proofErr w:type="spellStart"/>
      <w:r w:rsidRPr="00A00552">
        <w:rPr>
          <w:rFonts w:ascii="Arial" w:hAnsi="Arial" w:cs="Arial"/>
          <w:sz w:val="28"/>
          <w:szCs w:val="28"/>
        </w:rPr>
        <w:t>Edocrinol</w:t>
      </w:r>
      <w:proofErr w:type="spellEnd"/>
      <w:r w:rsidRPr="00A0055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00552">
        <w:rPr>
          <w:rFonts w:ascii="Arial" w:hAnsi="Arial" w:cs="Arial"/>
          <w:sz w:val="28"/>
          <w:szCs w:val="28"/>
        </w:rPr>
        <w:t>Metab</w:t>
      </w:r>
      <w:proofErr w:type="spellEnd"/>
      <w:r w:rsidRPr="00A0055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00552">
        <w:rPr>
          <w:rFonts w:ascii="Arial" w:hAnsi="Arial" w:cs="Arial"/>
          <w:sz w:val="28"/>
          <w:szCs w:val="28"/>
        </w:rPr>
        <w:t>Clin</w:t>
      </w:r>
      <w:proofErr w:type="spellEnd"/>
      <w:r w:rsidRPr="00A00552">
        <w:rPr>
          <w:rFonts w:ascii="Arial" w:hAnsi="Arial" w:cs="Arial"/>
          <w:sz w:val="28"/>
          <w:szCs w:val="28"/>
        </w:rPr>
        <w:t xml:space="preserve"> N Am </w:t>
      </w:r>
      <w:proofErr w:type="gramStart"/>
      <w:r w:rsidRPr="00A00552">
        <w:rPr>
          <w:rFonts w:ascii="Arial" w:hAnsi="Arial" w:cs="Arial"/>
          <w:sz w:val="28"/>
          <w:szCs w:val="28"/>
        </w:rPr>
        <w:t>2023;52:317</w:t>
      </w:r>
      <w:proofErr w:type="gramEnd"/>
      <w:r w:rsidRPr="00A00552">
        <w:rPr>
          <w:rFonts w:ascii="Arial" w:hAnsi="Arial" w:cs="Arial"/>
          <w:sz w:val="28"/>
          <w:szCs w:val="28"/>
        </w:rPr>
        <w:t xml:space="preserve"> </w:t>
      </w:r>
    </w:p>
    <w:p w:rsidR="006C5B79" w:rsidRDefault="006C5B79"/>
    <w:p w:rsidR="006C5B79" w:rsidRDefault="006C5B79">
      <w:r>
        <w:rPr>
          <w:noProof/>
          <w:lang w:eastAsia="it-IT"/>
        </w:rPr>
        <w:drawing>
          <wp:inline distT="0" distB="0" distL="0" distR="0" wp14:anchorId="74E90476" wp14:editId="7E7C662A">
            <wp:extent cx="3733800" cy="3017520"/>
            <wp:effectExtent l="0" t="0" r="0" b="0"/>
            <wp:docPr id="1" name="Immagine 1" descr="Obesity and 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sity and Ag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59" w:rsidRDefault="00317E59">
      <w:pPr>
        <w:rPr>
          <w:rFonts w:ascii="Arial" w:hAnsi="Arial" w:cs="Arial"/>
          <w:sz w:val="28"/>
          <w:szCs w:val="28"/>
          <w:lang w:val="en-GB"/>
        </w:rPr>
      </w:pPr>
    </w:p>
    <w:p w:rsidR="00317E59" w:rsidRPr="00317E59" w:rsidRDefault="00317E59">
      <w:pPr>
        <w:rPr>
          <w:rFonts w:ascii="Arial" w:hAnsi="Arial" w:cs="Arial"/>
          <w:sz w:val="28"/>
          <w:szCs w:val="28"/>
        </w:rPr>
      </w:pPr>
      <w:r w:rsidRPr="00317E59">
        <w:rPr>
          <w:rFonts w:ascii="Arial" w:hAnsi="Arial" w:cs="Arial"/>
          <w:sz w:val="28"/>
          <w:szCs w:val="28"/>
        </w:rPr>
        <w:t xml:space="preserve">Le immagini illustrative sulla obesità </w:t>
      </w:r>
      <w:proofErr w:type="spellStart"/>
      <w:r w:rsidRPr="00317E59">
        <w:rPr>
          <w:rFonts w:ascii="Arial" w:hAnsi="Arial" w:cs="Arial"/>
          <w:sz w:val="28"/>
          <w:szCs w:val="28"/>
        </w:rPr>
        <w:t>sarcopenica</w:t>
      </w:r>
      <w:proofErr w:type="spellEnd"/>
      <w:r w:rsidRPr="00317E59">
        <w:rPr>
          <w:rFonts w:ascii="Arial" w:hAnsi="Arial" w:cs="Arial"/>
          <w:sz w:val="28"/>
          <w:szCs w:val="28"/>
        </w:rPr>
        <w:t xml:space="preserve"> sono tante e forse complicano le cose</w:t>
      </w:r>
      <w:r w:rsidR="00F116B9">
        <w:rPr>
          <w:rFonts w:ascii="Arial" w:hAnsi="Arial" w:cs="Arial"/>
          <w:sz w:val="28"/>
          <w:szCs w:val="28"/>
        </w:rPr>
        <w:t>; la figura che segue è un esempio….</w:t>
      </w:r>
    </w:p>
    <w:p w:rsidR="00317E59" w:rsidRPr="00317E59" w:rsidRDefault="00317E59">
      <w:pPr>
        <w:rPr>
          <w:rFonts w:ascii="Arial" w:hAnsi="Arial" w:cs="Arial"/>
          <w:sz w:val="28"/>
          <w:szCs w:val="28"/>
        </w:rPr>
      </w:pPr>
    </w:p>
    <w:p w:rsidR="00317E59" w:rsidRDefault="00317E59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it-IT"/>
        </w:rPr>
        <w:lastRenderedPageBreak/>
        <w:drawing>
          <wp:inline distT="0" distB="0" distL="0" distR="0" wp14:anchorId="3F28AE3F" wp14:editId="79ABA2BE">
            <wp:extent cx="5250180" cy="4939030"/>
            <wp:effectExtent l="0" t="0" r="7620" b="0"/>
            <wp:docPr id="5" name="Immagine 5" descr="An external file that holds a picture, illustration, etc.&#10;Object name is AD-13-2-379-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 external file that holds a picture, illustration, etc.&#10;Object name is AD-13-2-379-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52" w:rsidRDefault="00A00552">
      <w:pPr>
        <w:rPr>
          <w:rFonts w:ascii="Arial" w:hAnsi="Arial" w:cs="Arial"/>
          <w:sz w:val="28"/>
          <w:szCs w:val="28"/>
          <w:lang w:val="en-GB"/>
        </w:rPr>
      </w:pPr>
    </w:p>
    <w:p w:rsidR="00A00552" w:rsidRDefault="007C3BA3" w:rsidP="00A00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Il rischio metabolico e </w:t>
      </w:r>
      <w:proofErr w:type="spellStart"/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cardiometabolico</w:t>
      </w:r>
      <w:proofErr w:type="spellEnd"/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dovrebbe essere maggiormente considerato quando si parla di longevità e di emergenza di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multimorbilità</w:t>
      </w:r>
      <w:proofErr w:type="spellEnd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; le attenzioni e considerazioni riguardano non soltanto la Geriatria, ma devono essere considerate </w:t>
      </w:r>
      <w:proofErr w:type="spellStart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neol</w:t>
      </w:r>
      <w:proofErr w:type="spellEnd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corso della ita e anche in pediatria. </w:t>
      </w:r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Nella figura che segue è schematizzato un potenziale modello per lo screening del rischio </w:t>
      </w:r>
      <w:proofErr w:type="spellStart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cardiometabolico</w:t>
      </w:r>
      <w:proofErr w:type="spellEnd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infantile: l’ate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rosclerosi </w:t>
      </w:r>
      <w:proofErr w:type="gramStart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infatti  inizia</w:t>
      </w:r>
      <w:proofErr w:type="gramEnd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già </w:t>
      </w:r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nell’infanzia/ad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olescenza  quando già è presente un certo grado di </w:t>
      </w:r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del rischio </w:t>
      </w:r>
      <w:proofErr w:type="spellStart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cardiometabolico</w:t>
      </w:r>
      <w:proofErr w:type="spellEnd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: i fattori di rischio includono iperglicemia, pressione sanguigna elevata, dislipidemia, obe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sità addominale e infiammazione cronica.</w:t>
      </w:r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Lo screening metabolico potrebbe consentire l’identificazione </w:t>
      </w:r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lastRenderedPageBreak/>
        <w:t>precoce dei bambini ad elevato rischio di sviluppare malattie cardiovascolari da adulti. Gli interventi potrebbero rafforzare scelte di vita più sane e l’uso delle terapie farmaceutiche sicure esistenti quando è probabile che siano più efficaci (</w:t>
      </w:r>
      <w:proofErr w:type="spellStart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EBioMedicine</w:t>
      </w:r>
      <w:proofErr w:type="spellEnd"/>
      <w:r w:rsidR="00A00552" w:rsidRPr="00402695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20121; 74: 103702).</w:t>
      </w:r>
    </w:p>
    <w:p w:rsidR="00033DF2" w:rsidRPr="00402695" w:rsidRDefault="00033DF2" w:rsidP="00A00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</w:p>
    <w:p w:rsidR="00402695" w:rsidRDefault="00402695" w:rsidP="00A00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42"/>
          <w:szCs w:val="42"/>
          <w:lang w:eastAsia="it-IT"/>
        </w:rPr>
      </w:pPr>
      <w:r>
        <w:rPr>
          <w:noProof/>
          <w:lang w:eastAsia="it-IT"/>
        </w:rPr>
        <w:drawing>
          <wp:inline distT="0" distB="0" distL="0" distR="0" wp14:anchorId="4CAA5226" wp14:editId="6941EE2C">
            <wp:extent cx="5669915" cy="4579457"/>
            <wp:effectExtent l="0" t="0" r="6985" b="0"/>
            <wp:docPr id="6" name="Immagine 6" descr="https://www.ncbi.nlm.nih.gov/pmc/articles/instance/8605378/bin/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cbi.nlm.nih.gov/pmc/articles/instance/8605378/bin/g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40" cy="45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13" w:rsidRPr="00F644BD" w:rsidRDefault="00EA3805" w:rsidP="002D2B13">
      <w:pPr>
        <w:pStyle w:val="PreformattatoHTML"/>
        <w:spacing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Si prospetta la necessità di realizzare una prevenzione </w:t>
      </w:r>
      <w:proofErr w:type="spellStart"/>
      <w:r w:rsidRPr="000234D2">
        <w:rPr>
          <w:rFonts w:ascii="Arial" w:eastAsia="Times New Roman" w:hAnsi="Arial" w:cs="Arial"/>
          <w:i/>
          <w:color w:val="1F1F1F"/>
          <w:sz w:val="28"/>
          <w:szCs w:val="28"/>
          <w:lang w:eastAsia="it-IT"/>
        </w:rPr>
        <w:t>longlife</w:t>
      </w:r>
      <w:proofErr w:type="spellEnd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cioè nel corso della vita per contrastare </w:t>
      </w:r>
      <w:proofErr w:type="gramStart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l’ emergenza</w:t>
      </w:r>
      <w:proofErr w:type="gramEnd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del</w:t>
      </w:r>
      <w:r w:rsid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le malattie </w:t>
      </w:r>
      <w:proofErr w:type="spellStart"/>
      <w:r w:rsid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cardiometaboliche</w:t>
      </w:r>
      <w:proofErr w:type="spellEnd"/>
      <w:r w:rsid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e rallentare il declino cognitivo</w:t>
      </w:r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. E’ rilevante ricordare che la l’età biologica è influenzata negativamente dalla </w:t>
      </w:r>
      <w:proofErr w:type="spellStart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multimorbilità</w:t>
      </w:r>
      <w:proofErr w:type="spellEnd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cardiometabolica</w:t>
      </w:r>
      <w:proofErr w:type="spellEnd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(Nature </w:t>
      </w:r>
      <w:proofErr w:type="spellStart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Cardiovasc</w:t>
      </w:r>
      <w:proofErr w:type="spellEnd"/>
      <w:r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Res 2024)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gramStart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( Lancet</w:t>
      </w:r>
      <w:proofErr w:type="gramEnd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Healthy</w:t>
      </w:r>
      <w:proofErr w:type="spellEnd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Longevity</w:t>
      </w:r>
      <w:proofErr w:type="spellEnd"/>
      <w:r w:rsidR="000234D2" w:rsidRP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2023; 4: e241-2).</w:t>
      </w:r>
      <w:r w:rsidR="000234D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2D2B13"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L’invecchiamento biologico accelerato aumenta il rischio di </w:t>
      </w:r>
      <w:proofErr w:type="spellStart"/>
      <w:r w:rsidR="002D2B13"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multimorbilità</w:t>
      </w:r>
      <w:proofErr w:type="spellEnd"/>
      <w:r w:rsidR="002D2B13"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e mortalità </w:t>
      </w:r>
      <w:proofErr w:type="spellStart"/>
      <w:r w:rsidR="002D2B13"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cardiometabolica</w:t>
      </w:r>
      <w:proofErr w:type="spellEnd"/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.</w:t>
      </w:r>
    </w:p>
    <w:p w:rsidR="002D2B13" w:rsidRPr="00F644BD" w:rsidRDefault="002D2B13" w:rsidP="002D2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proofErr w:type="gram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Su  Nature</w:t>
      </w:r>
      <w:proofErr w:type="gram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Cardiovascolare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Research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2024; 3: 332–342</w:t>
      </w:r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si propongono </w:t>
      </w:r>
    </w:p>
    <w:p w:rsidR="002D2B13" w:rsidRDefault="002D2B13" w:rsidP="002D2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lastRenderedPageBreak/>
        <w:t xml:space="preserve">associazioni tra invecchiamento biologico e sviluppo e mortalità della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multimorbidità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cardiometabolica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(CMM); si fa </w:t>
      </w:r>
      <w:proofErr w:type="gram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riferimento  a</w:t>
      </w:r>
      <w:proofErr w:type="gramEnd"/>
      <w:r w:rsidR="005B308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una analisi  su 341</w:t>
      </w:r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159 adulti della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Biobanca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del Regno Unito. La CMM è stata definita come la coesistenza di due o tre malattie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cardiometaboliche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(CMD), tra cui il diabete di tipo 2, la cardiopatia ischemica e l’ictus. L’invecchiamento biologico è stato misurato utilizzando gli algoritmi particolari. Nel corso di un follow-up mediano di 8,84 anni, i partecipanti biologicamente più anziani hanno dimostrato rischi decisamente più elevati dal primo CMD al CMM e poi alla morte. In particolare, i rapporti di rischio aggiustati per la prima CMD-CMM e per la CMM-morte erano 1,15 (intervallo di confidenza al 95% (CI): 1,12, 1,19) e 1,26 (IC al 95%: 1,17, 1,35) </w:t>
      </w:r>
      <w:proofErr w:type="gram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per  l’accelerazione</w:t>
      </w:r>
      <w:proofErr w:type="gram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di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PhenoAge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. Rispetto alla fragilità, al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Framingham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Risk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Score e alla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Systematic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Coronary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proofErr w:type="spellStart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Risk</w:t>
      </w:r>
      <w:proofErr w:type="spell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Evaluation 2 (SCORE2), le misure dell’invecchiamento biologico hanno evidenziato associazioni sostanziali e coerenti con lo sviluppo della CMM. L’invecchi</w:t>
      </w:r>
      <w:r w:rsidR="0089295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amento biologico accelerato aiuta </w:t>
      </w:r>
      <w:proofErr w:type="gramStart"/>
      <w:r w:rsidR="0089295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l’identificazione </w:t>
      </w:r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89295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de</w:t>
      </w:r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gli</w:t>
      </w:r>
      <w:proofErr w:type="gramEnd"/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individui con rischi di C</w:t>
      </w:r>
      <w:r w:rsidR="00892954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MM, consentendo  interventi precoci</w:t>
      </w:r>
      <w:r w:rsidR="002A1669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di prevenzione</w:t>
      </w:r>
      <w:r w:rsidRPr="00F644BD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.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Quindi m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aggiore attenzione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va posta alla composizione cor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porea come fattore importante anche del declino</w:t>
      </w:r>
      <w:r w:rsidR="00033DF2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</w:t>
      </w:r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 xml:space="preserve"> delle funzioni cognitive che si verifica  durante l’invecchiamento (</w:t>
      </w:r>
      <w:hyperlink r:id="rId13" w:history="1">
        <w:r w:rsidR="00C800EC" w:rsidRPr="00B84161">
          <w:rPr>
            <w:rStyle w:val="Collegamentoipertestuale"/>
            <w:rFonts w:ascii="Arial" w:eastAsia="Times New Roman" w:hAnsi="Arial" w:cs="Arial"/>
            <w:sz w:val="28"/>
            <w:szCs w:val="28"/>
            <w:lang w:eastAsia="it-IT"/>
          </w:rPr>
          <w:t>https://www.dovepress.com/getfile.php?fileID=42469</w:t>
        </w:r>
      </w:hyperlink>
      <w:r w:rsidR="00C26577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)</w:t>
      </w:r>
      <w:r w:rsidR="00C800EC">
        <w:rPr>
          <w:rFonts w:ascii="Arial" w:eastAsia="Times New Roman" w:hAnsi="Arial" w:cs="Arial"/>
          <w:color w:val="1F1F1F"/>
          <w:sz w:val="28"/>
          <w:szCs w:val="28"/>
          <w:lang w:eastAsia="it-IT"/>
        </w:rPr>
        <w:t>.</w:t>
      </w:r>
    </w:p>
    <w:p w:rsidR="00C800EC" w:rsidRPr="002D2B13" w:rsidRDefault="00C800EC" w:rsidP="002D2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3B04316D" wp14:editId="2AE90189">
            <wp:extent cx="6120130" cy="3446145"/>
            <wp:effectExtent l="0" t="0" r="0" b="1905"/>
            <wp:docPr id="8" name="Immagine 8" descr="Obesità sarcopenica legata alla demenza nei pazienti anz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esità sarcopenica legata alla demenza nei pazienti anzia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13" w:rsidRPr="002D2B13" w:rsidRDefault="002D2B13" w:rsidP="002D2B13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1F1F1F"/>
          <w:sz w:val="28"/>
          <w:szCs w:val="28"/>
          <w:lang w:eastAsia="it-IT"/>
        </w:rPr>
      </w:pPr>
    </w:p>
    <w:p w:rsidR="00402695" w:rsidRDefault="00636523" w:rsidP="00A00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1F1F1F"/>
          <w:sz w:val="28"/>
          <w:szCs w:val="28"/>
          <w:lang w:eastAsia="it-IT"/>
        </w:rPr>
        <w:t>Le valutazioni cliniche e le misurazioni oggettive che possono essere anche autogestite dal paziente dovrebbero essere riportate sul fascicolo sanitario elettronico del malato.</w:t>
      </w:r>
    </w:p>
    <w:p w:rsidR="00636523" w:rsidRPr="00F644BD" w:rsidRDefault="00636523" w:rsidP="00A00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1F1F1F"/>
          <w:sz w:val="28"/>
          <w:szCs w:val="28"/>
          <w:lang w:eastAsia="it-IT"/>
        </w:rPr>
      </w:pPr>
      <w:bookmarkStart w:id="0" w:name="_GoBack"/>
      <w:bookmarkEnd w:id="0"/>
    </w:p>
    <w:p w:rsidR="00A00552" w:rsidRPr="00F644BD" w:rsidRDefault="00617C54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( molte</w:t>
      </w:r>
      <w:proofErr w:type="gramEnd"/>
      <w:r>
        <w:rPr>
          <w:rFonts w:ascii="Arial" w:hAnsi="Arial" w:cs="Arial"/>
          <w:sz w:val="28"/>
          <w:szCs w:val="28"/>
        </w:rPr>
        <w:t xml:space="preserve"> informazioni di questo aggiornamento sono tratte liberamente da internet) </w:t>
      </w:r>
    </w:p>
    <w:sectPr w:rsidR="00A00552" w:rsidRPr="00F644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F2F0A"/>
    <w:multiLevelType w:val="multilevel"/>
    <w:tmpl w:val="80E6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F3"/>
    <w:rsid w:val="00015AF4"/>
    <w:rsid w:val="000234D2"/>
    <w:rsid w:val="00033DF2"/>
    <w:rsid w:val="0004426C"/>
    <w:rsid w:val="001048A2"/>
    <w:rsid w:val="001E0275"/>
    <w:rsid w:val="00202855"/>
    <w:rsid w:val="002A1669"/>
    <w:rsid w:val="002D2B13"/>
    <w:rsid w:val="00317E59"/>
    <w:rsid w:val="00380DF1"/>
    <w:rsid w:val="003941D8"/>
    <w:rsid w:val="00402695"/>
    <w:rsid w:val="00494E92"/>
    <w:rsid w:val="005B299F"/>
    <w:rsid w:val="005B3084"/>
    <w:rsid w:val="00617C54"/>
    <w:rsid w:val="00621BFA"/>
    <w:rsid w:val="00636523"/>
    <w:rsid w:val="006C5B79"/>
    <w:rsid w:val="006D44D5"/>
    <w:rsid w:val="007143F7"/>
    <w:rsid w:val="00725BE4"/>
    <w:rsid w:val="00740211"/>
    <w:rsid w:val="00757A6A"/>
    <w:rsid w:val="007C3BA3"/>
    <w:rsid w:val="00892954"/>
    <w:rsid w:val="008B0775"/>
    <w:rsid w:val="0096141B"/>
    <w:rsid w:val="00A00552"/>
    <w:rsid w:val="00A15864"/>
    <w:rsid w:val="00A53D6B"/>
    <w:rsid w:val="00A97687"/>
    <w:rsid w:val="00B30E76"/>
    <w:rsid w:val="00C26577"/>
    <w:rsid w:val="00C446CB"/>
    <w:rsid w:val="00C800EC"/>
    <w:rsid w:val="00D9651F"/>
    <w:rsid w:val="00E00422"/>
    <w:rsid w:val="00E061E7"/>
    <w:rsid w:val="00E956DD"/>
    <w:rsid w:val="00EA3805"/>
    <w:rsid w:val="00EE4BF3"/>
    <w:rsid w:val="00F116B9"/>
    <w:rsid w:val="00F644BD"/>
    <w:rsid w:val="00F66C51"/>
    <w:rsid w:val="00FB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95A34"/>
  <w15:chartTrackingRefBased/>
  <w15:docId w15:val="{29020EEF-519D-46F6-9B21-356C0298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02855"/>
    <w:rPr>
      <w:rFonts w:ascii="Times New Roman" w:hAnsi="Times New Roman" w:cs="Times New Roman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D2B1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D2B13"/>
    <w:rPr>
      <w:rFonts w:ascii="Consolas" w:hAnsi="Consola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C800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4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6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372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5080">
              <w:marLeft w:val="0"/>
              <w:marRight w:val="0"/>
              <w:marTop w:val="0"/>
              <w:marBottom w:val="720"/>
              <w:divBdr>
                <w:top w:val="single" w:sz="6" w:space="18" w:color="CEDBE0"/>
                <w:left w:val="single" w:sz="6" w:space="18" w:color="CEDBE0"/>
                <w:bottom w:val="single" w:sz="6" w:space="18" w:color="CEDBE0"/>
                <w:right w:val="single" w:sz="6" w:space="18" w:color="CEDBE0"/>
              </w:divBdr>
            </w:div>
          </w:divsChild>
        </w:div>
      </w:divsChild>
    </w:div>
    <w:div w:id="3334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9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5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4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0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51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1633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042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8297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7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92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51485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18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05031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ovepress.com/getfile.php?fileID=4246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nk.springer.com/article/10.1007/s40619-022-01138-w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link.springer.com/article/10.1007/s40619-020-00789-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</dc:creator>
  <cp:keywords/>
  <dc:description/>
  <cp:lastModifiedBy>Chiara</cp:lastModifiedBy>
  <cp:revision>48</cp:revision>
  <dcterms:created xsi:type="dcterms:W3CDTF">2024-04-10T06:29:00Z</dcterms:created>
  <dcterms:modified xsi:type="dcterms:W3CDTF">2024-04-27T07:38:00Z</dcterms:modified>
</cp:coreProperties>
</file>