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14AB" w:rsidRPr="00AA4C54" w:rsidRDefault="000249D3" w:rsidP="007353F5">
      <w:pPr>
        <w:rPr>
          <w:b/>
          <w:sz w:val="28"/>
          <w:szCs w:val="28"/>
        </w:rPr>
      </w:pPr>
      <w:r w:rsidRPr="00AA4C54">
        <w:rPr>
          <w:b/>
          <w:sz w:val="28"/>
          <w:szCs w:val="28"/>
        </w:rPr>
        <w:t>NEUROFILAMENTI LEGGERI NEL SANGUE (</w:t>
      </w:r>
      <w:proofErr w:type="spellStart"/>
      <w:r w:rsidRPr="00AA4C54">
        <w:rPr>
          <w:b/>
          <w:sz w:val="28"/>
          <w:szCs w:val="28"/>
        </w:rPr>
        <w:t>NfL</w:t>
      </w:r>
      <w:proofErr w:type="spellEnd"/>
      <w:proofErr w:type="gramStart"/>
      <w:r w:rsidRPr="00AA4C54">
        <w:rPr>
          <w:b/>
          <w:sz w:val="28"/>
          <w:szCs w:val="28"/>
        </w:rPr>
        <w:t>) :</w:t>
      </w:r>
      <w:proofErr w:type="gramEnd"/>
      <w:r w:rsidRPr="00AA4C54">
        <w:rPr>
          <w:b/>
          <w:sz w:val="28"/>
          <w:szCs w:val="28"/>
        </w:rPr>
        <w:t xml:space="preserve"> un utile marker di demenza ?</w:t>
      </w:r>
    </w:p>
    <w:p w:rsidR="00D1403D" w:rsidRPr="00AA4C54" w:rsidRDefault="007320FF" w:rsidP="007320F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A4C54">
        <w:rPr>
          <w:rFonts w:ascii="Arial" w:hAnsi="Arial" w:cs="Arial"/>
          <w:sz w:val="24"/>
          <w:szCs w:val="24"/>
        </w:rPr>
        <w:t>I neurofilamenti che derivano dal sistema nervoso cent</w:t>
      </w:r>
      <w:r w:rsidR="00C87554" w:rsidRPr="00AA4C54">
        <w:rPr>
          <w:rFonts w:ascii="Arial" w:hAnsi="Arial" w:cs="Arial"/>
          <w:sz w:val="24"/>
          <w:szCs w:val="24"/>
        </w:rPr>
        <w:t>rale e anche dal sistema nervoso</w:t>
      </w:r>
      <w:r w:rsidRPr="00AA4C54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AA4C54">
        <w:rPr>
          <w:rFonts w:ascii="Arial" w:hAnsi="Arial" w:cs="Arial"/>
          <w:sz w:val="24"/>
          <w:szCs w:val="24"/>
        </w:rPr>
        <w:t>periferico  sono</w:t>
      </w:r>
      <w:proofErr w:type="gramEnd"/>
      <w:r w:rsidRPr="00AA4C5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A4C54">
        <w:rPr>
          <w:rFonts w:ascii="Arial" w:hAnsi="Arial" w:cs="Arial"/>
          <w:sz w:val="24"/>
          <w:szCs w:val="24"/>
        </w:rPr>
        <w:t>eteropolimeri</w:t>
      </w:r>
      <w:proofErr w:type="spellEnd"/>
      <w:r w:rsidRPr="00AA4C54">
        <w:rPr>
          <w:rFonts w:ascii="Arial" w:hAnsi="Arial" w:cs="Arial"/>
          <w:sz w:val="24"/>
          <w:szCs w:val="24"/>
        </w:rPr>
        <w:t xml:space="preserve">  che dal liquor cefalorachidiano passano nella circolazione ematica </w:t>
      </w:r>
      <w:r w:rsidR="00C87554" w:rsidRPr="00AA4C54">
        <w:rPr>
          <w:rFonts w:ascii="Arial" w:hAnsi="Arial" w:cs="Arial"/>
          <w:sz w:val="24"/>
          <w:szCs w:val="24"/>
        </w:rPr>
        <w:t xml:space="preserve">(vedi figure) </w:t>
      </w:r>
      <w:r w:rsidRPr="00AA4C54">
        <w:rPr>
          <w:rFonts w:ascii="Arial" w:hAnsi="Arial" w:cs="Arial"/>
          <w:sz w:val="24"/>
          <w:szCs w:val="24"/>
        </w:rPr>
        <w:t xml:space="preserve">dove possono essere valutati </w:t>
      </w:r>
      <w:proofErr w:type="spellStart"/>
      <w:r w:rsidRPr="00AA4C54">
        <w:rPr>
          <w:rFonts w:ascii="Arial" w:hAnsi="Arial" w:cs="Arial"/>
          <w:sz w:val="24"/>
          <w:szCs w:val="24"/>
        </w:rPr>
        <w:t>quantitavamente</w:t>
      </w:r>
      <w:proofErr w:type="spellEnd"/>
      <w:r w:rsidRPr="00AA4C54">
        <w:rPr>
          <w:rFonts w:ascii="Arial" w:hAnsi="Arial" w:cs="Arial"/>
          <w:sz w:val="24"/>
          <w:szCs w:val="24"/>
        </w:rPr>
        <w:t xml:space="preserve"> con idonee procedure. Nella figura che segue si pone </w:t>
      </w:r>
      <w:proofErr w:type="gramStart"/>
      <w:r w:rsidRPr="00AA4C54">
        <w:rPr>
          <w:rFonts w:ascii="Arial" w:hAnsi="Arial" w:cs="Arial"/>
          <w:sz w:val="24"/>
          <w:szCs w:val="24"/>
        </w:rPr>
        <w:t>l’ attenzione</w:t>
      </w:r>
      <w:proofErr w:type="gramEnd"/>
      <w:r w:rsidRPr="00AA4C54">
        <w:rPr>
          <w:rFonts w:ascii="Arial" w:hAnsi="Arial" w:cs="Arial"/>
          <w:sz w:val="24"/>
          <w:szCs w:val="24"/>
        </w:rPr>
        <w:t xml:space="preserve"> sul neuro</w:t>
      </w:r>
      <w:r w:rsidR="001540FF" w:rsidRPr="00AA4C54">
        <w:rPr>
          <w:rFonts w:ascii="Arial" w:hAnsi="Arial" w:cs="Arial"/>
          <w:sz w:val="24"/>
          <w:szCs w:val="24"/>
        </w:rPr>
        <w:t>filamento a catena leggera (</w:t>
      </w:r>
      <w:proofErr w:type="spellStart"/>
      <w:r w:rsidR="001540FF" w:rsidRPr="00AA4C54">
        <w:rPr>
          <w:rFonts w:ascii="Arial" w:hAnsi="Arial" w:cs="Arial"/>
          <w:sz w:val="24"/>
          <w:szCs w:val="24"/>
        </w:rPr>
        <w:t>NfL</w:t>
      </w:r>
      <w:proofErr w:type="spellEnd"/>
      <w:r w:rsidR="001540FF" w:rsidRPr="00AA4C54">
        <w:rPr>
          <w:rFonts w:ascii="Arial" w:hAnsi="Arial" w:cs="Arial"/>
          <w:sz w:val="24"/>
          <w:szCs w:val="24"/>
        </w:rPr>
        <w:t xml:space="preserve">) </w:t>
      </w:r>
      <w:r w:rsidR="00C87554" w:rsidRPr="00AA4C54">
        <w:rPr>
          <w:rFonts w:ascii="Arial" w:hAnsi="Arial" w:cs="Arial"/>
          <w:sz w:val="24"/>
          <w:szCs w:val="24"/>
        </w:rPr>
        <w:t xml:space="preserve">) </w:t>
      </w:r>
      <w:r w:rsidRPr="00AA4C54">
        <w:rPr>
          <w:rFonts w:ascii="Arial" w:hAnsi="Arial" w:cs="Arial"/>
          <w:sz w:val="24"/>
          <w:szCs w:val="24"/>
        </w:rPr>
        <w:t>e il suo passaggio nella circolazione ematica.</w:t>
      </w:r>
    </w:p>
    <w:p w:rsidR="00D1403D" w:rsidRPr="00AA4C54" w:rsidRDefault="00D1403D" w:rsidP="00D87023">
      <w:pPr>
        <w:autoSpaceDE w:val="0"/>
        <w:autoSpaceDN w:val="0"/>
        <w:adjustRightInd w:val="0"/>
        <w:spacing w:after="0" w:line="240" w:lineRule="auto"/>
        <w:rPr>
          <w:rFonts w:ascii="AdvP7B6C" w:hAnsi="AdvP7B6C" w:cs="AdvP7B6C"/>
          <w:sz w:val="19"/>
          <w:szCs w:val="19"/>
        </w:rPr>
      </w:pPr>
    </w:p>
    <w:p w:rsidR="00D1403D" w:rsidRPr="00AA4C54" w:rsidRDefault="00D1403D" w:rsidP="00D87023">
      <w:pPr>
        <w:autoSpaceDE w:val="0"/>
        <w:autoSpaceDN w:val="0"/>
        <w:adjustRightInd w:val="0"/>
        <w:spacing w:after="0" w:line="240" w:lineRule="auto"/>
        <w:rPr>
          <w:rFonts w:ascii="AdvP7B6C" w:hAnsi="AdvP7B6C" w:cs="AdvP7B6C"/>
          <w:sz w:val="19"/>
          <w:szCs w:val="19"/>
        </w:rPr>
      </w:pPr>
    </w:p>
    <w:p w:rsidR="00D1403D" w:rsidRPr="00B00EAB" w:rsidRDefault="001540FF" w:rsidP="00D870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1540FF">
        <w:rPr>
          <w:rFonts w:ascii="Calibri" w:eastAsia="Times New Roman" w:hAnsi="Calibri" w:cs="Times New Roman"/>
          <w:noProof/>
          <w:lang w:eastAsia="it-IT"/>
        </w:rPr>
        <w:drawing>
          <wp:inline distT="0" distB="0" distL="0" distR="0" wp14:anchorId="556F4348" wp14:editId="2874F8E6">
            <wp:extent cx="4359910" cy="2783970"/>
            <wp:effectExtent l="0" t="0" r="2540" b="0"/>
            <wp:docPr id="4" name="Immagine 4" descr="Risultati immagini per neurofilaments in b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isultati immagini per neurofilaments in bloo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0713" cy="279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403D" w:rsidRPr="00B00EAB" w:rsidRDefault="00D1403D" w:rsidP="00D870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:rsidR="00F743D1" w:rsidRDefault="00AD793D" w:rsidP="00B00EAB">
      <w:pPr>
        <w:spacing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AA4C54">
        <w:rPr>
          <w:rFonts w:ascii="Arial" w:hAnsi="Arial" w:cs="Arial"/>
          <w:sz w:val="24"/>
          <w:szCs w:val="24"/>
        </w:rPr>
        <w:t xml:space="preserve"> </w:t>
      </w:r>
      <w:r w:rsidR="00B00EAB" w:rsidRPr="00B00EA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I neurofilamenti non sono marcatori specifici delle de</w:t>
      </w:r>
      <w:r w:rsidR="003547C6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menze:</w:t>
      </w:r>
      <w:r w:rsidR="00552CC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si trovano </w:t>
      </w:r>
      <w:r w:rsidR="003547C6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infatti </w:t>
      </w:r>
      <w:r w:rsidR="00B00EAB" w:rsidRPr="00B00EA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nel sangue di pazienti affetti da altre patolog</w:t>
      </w:r>
      <w:r w:rsidR="00552CC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ie neurodegenerative, come la sclerosi multipla, la SLA e il Parkinson, e anche </w:t>
      </w:r>
      <w:r w:rsidR="00B00EAB" w:rsidRPr="00B00EA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immediatamente dopo un trauma cranico.</w:t>
      </w:r>
      <w:r w:rsidR="00552CC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Kit per la determinazione di </w:t>
      </w:r>
      <w:proofErr w:type="spellStart"/>
      <w:r w:rsidR="00552CC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NfL</w:t>
      </w:r>
      <w:proofErr w:type="spellEnd"/>
      <w:r w:rsidR="00552CC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sono ampiamente disponibili: si tratta di valutare la loro effettiva utilità.  </w:t>
      </w:r>
    </w:p>
    <w:p w:rsidR="00F743D1" w:rsidRDefault="00F743D1" w:rsidP="00B00EAB">
      <w:pPr>
        <w:spacing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</w:p>
    <w:p w:rsidR="00B00EAB" w:rsidRDefault="00552CC2" w:rsidP="00B00EAB">
      <w:pPr>
        <w:spacing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234F7D">
        <w:rPr>
          <w:noProof/>
          <w:lang w:eastAsia="it-IT"/>
        </w:rPr>
        <w:drawing>
          <wp:inline distT="0" distB="0" distL="0" distR="0" wp14:anchorId="259BB354" wp14:editId="613B5470">
            <wp:extent cx="3848100" cy="339852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339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554" w:rsidRDefault="00EF3A8E" w:rsidP="00D87023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</w:pPr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lastRenderedPageBreak/>
        <w:t>Il neur</w:t>
      </w:r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o</w:t>
      </w:r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fi</w:t>
      </w:r>
      <w:r w:rsidR="00C87554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lamento leggero </w:t>
      </w:r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è un </w:t>
      </w:r>
      <w:proofErr w:type="spellStart"/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biomarker</w:t>
      </w:r>
      <w:proofErr w:type="spellEnd"/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della degenerazione </w:t>
      </w:r>
      <w:r w:rsidR="00C87554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soprattutto </w:t>
      </w:r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degli assoni di grosso calib</w:t>
      </w:r>
      <w:r w:rsidR="00552CC2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r</w:t>
      </w:r>
      <w:r w:rsidR="00C87554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o della regione sottocorticale: i</w:t>
      </w:r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n soggetti normali e con MCI  le relazioni longitudinali fra </w:t>
      </w:r>
      <w:proofErr w:type="spellStart"/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NfL</w:t>
      </w:r>
      <w:proofErr w:type="spellEnd"/>
      <w:r w:rsidR="003630B1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nel plasma e nel liquor e le valutazioni delle prestazioni cognitive </w:t>
      </w:r>
      <w:r w:rsidR="00F3755E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e dei parametri raccolti con neuroimaging</w:t>
      </w:r>
      <w:r w:rsidR="009C4C1F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sono indipendenti dal contenuto</w:t>
      </w:r>
      <w:r w:rsidR="00F3755E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cerebrale di amiloide</w:t>
      </w:r>
      <w:r w:rsidR="009C4C1F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      </w:t>
      </w:r>
      <w:r w:rsidR="00C87554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(</w:t>
      </w:r>
      <w:hyperlink r:id="rId8" w:history="1">
        <w:r w:rsidR="009C4C1F" w:rsidRPr="00DF2820">
          <w:rPr>
            <w:rStyle w:val="Collegamentoipertestuale"/>
            <w:rFonts w:ascii="Helvetica" w:hAnsi="Helvetica" w:cs="Helvetica"/>
            <w:sz w:val="26"/>
            <w:szCs w:val="26"/>
            <w:shd w:val="clear" w:color="auto" w:fill="FFFFFF"/>
          </w:rPr>
          <w:t>https://www.ncbi.nlm.nih.gov/pmc/articles/PMC6439969/</w:t>
        </w:r>
      </w:hyperlink>
      <w:r w:rsidR="009C4C1F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)</w:t>
      </w:r>
      <w:r w:rsidR="00C83E33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. </w:t>
      </w:r>
    </w:p>
    <w:p w:rsidR="003C6A07" w:rsidRDefault="003C6A07" w:rsidP="00D87023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</w:pPr>
    </w:p>
    <w:p w:rsidR="003630B1" w:rsidRPr="003C6A07" w:rsidRDefault="00C83E33" w:rsidP="003C6A07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</w:pPr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In valutazioni</w:t>
      </w:r>
      <w:r w:rsidR="00AC7EFD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per ora limitate numericamente, i</w:t>
      </w:r>
      <w:r w:rsidR="00C87554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valori elevati di </w:t>
      </w:r>
      <w:proofErr w:type="spellStart"/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NfL</w:t>
      </w:r>
      <w:proofErr w:type="spellEnd"/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nel plasma sono un marker prognostico di declino cognitivo e di peggioramento della </w:t>
      </w:r>
      <w:proofErr w:type="spellStart"/>
      <w:r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neurodegenera</w:t>
      </w:r>
      <w:r w:rsidR="00AC7EFD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>zione</w:t>
      </w:r>
      <w:proofErr w:type="spellEnd"/>
      <w:r w:rsidR="00AC7EFD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valutata con neuroimaging.</w:t>
      </w:r>
      <w:r w:rsidR="003C6A07">
        <w:rPr>
          <w:rFonts w:ascii="Helvetica" w:hAnsi="Helvetica" w:cs="Helvetica"/>
          <w:color w:val="333333"/>
          <w:sz w:val="26"/>
          <w:szCs w:val="26"/>
          <w:shd w:val="clear" w:color="auto" w:fill="FFFFFF"/>
        </w:rPr>
        <w:t xml:space="preserve">  </w:t>
      </w:r>
      <w:proofErr w:type="gramStart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>L’aumento  longitudinale</w:t>
      </w:r>
      <w:proofErr w:type="gramEnd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del </w:t>
      </w:r>
      <w:proofErr w:type="spellStart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>NfL</w:t>
      </w:r>
      <w:proofErr w:type="spellEnd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in circolo  si associa a declino cognitivo e a peggioramento della attenzione </w:t>
      </w:r>
      <w:r w:rsidR="003B24BF"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alla valutazione neuropsicologica </w:t>
      </w:r>
      <w:r w:rsidR="003C6A07">
        <w:rPr>
          <w:rFonts w:ascii="Arial" w:hAnsi="Arial" w:cs="Arial"/>
          <w:color w:val="333333"/>
          <w:sz w:val="24"/>
          <w:szCs w:val="24"/>
          <w:shd w:val="clear" w:color="auto" w:fill="FFFFFF"/>
        </w:rPr>
        <w:t>(</w:t>
      </w:r>
      <w:proofErr w:type="spellStart"/>
      <w:r w:rsidR="003C6A07">
        <w:rPr>
          <w:rFonts w:ascii="Arial" w:hAnsi="Arial" w:cs="Arial"/>
          <w:color w:val="333333"/>
          <w:sz w:val="24"/>
          <w:szCs w:val="24"/>
          <w:shd w:val="clear" w:color="auto" w:fill="FFFFFF"/>
        </w:rPr>
        <w:t>Neurology</w:t>
      </w:r>
      <w:proofErr w:type="spellEnd"/>
      <w:r w:rsidR="003C6A07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2019;93:e252) .</w:t>
      </w:r>
    </w:p>
    <w:p w:rsidR="003B24BF" w:rsidRPr="00C87554" w:rsidRDefault="00B7345E" w:rsidP="00F743D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Molteplici ricerche confermano concentrazioni ematiche </w:t>
      </w:r>
      <w:proofErr w:type="gramStart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>elevate  di</w:t>
      </w:r>
      <w:proofErr w:type="gramEnd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>NfL</w:t>
      </w:r>
      <w:proofErr w:type="spellEnd"/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nei pazienti con AD; ma la potenziale utilizzazione di questo parametro in clinica deve tener conto </w:t>
      </w:r>
      <w:r w:rsidR="00AC7EFD"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come già si è detto, </w:t>
      </w:r>
      <w:r w:rsidRPr="00C87554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della sua bassa specificità; </w:t>
      </w:r>
    </w:p>
    <w:p w:rsidR="003B24BF" w:rsidRPr="00C87554" w:rsidRDefault="003B24BF" w:rsidP="00F743D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</w:p>
    <w:p w:rsidR="00EC2A8C" w:rsidRPr="00C87554" w:rsidRDefault="003B24BF" w:rsidP="003547C6">
      <w:pPr>
        <w:spacing w:after="15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C875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Uno studio recente condotto </w:t>
      </w:r>
      <w:proofErr w:type="spellStart"/>
      <w:r w:rsidRPr="00C87554">
        <w:rPr>
          <w:rFonts w:ascii="Arial" w:hAnsi="Arial" w:cs="Arial"/>
          <w:color w:val="222222"/>
          <w:sz w:val="24"/>
          <w:szCs w:val="24"/>
          <w:shd w:val="clear" w:color="auto" w:fill="FFFFFF"/>
        </w:rPr>
        <w:t>nell’ ambito</w:t>
      </w:r>
      <w:proofErr w:type="spellEnd"/>
      <w:r w:rsidRPr="00C875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del </w:t>
      </w:r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Dominantly</w:t>
      </w:r>
      <w:proofErr w:type="spellEnd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Inherit</w:t>
      </w:r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ed</w:t>
      </w:r>
      <w:proofErr w:type="spellEnd"/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Alzheimer Network </w:t>
      </w:r>
      <w:hyperlink r:id="rId9" w:history="1">
        <w:r w:rsidR="00D32535" w:rsidRPr="00C87554">
          <w:rPr>
            <w:rFonts w:ascii="Arial" w:hAnsi="Arial" w:cs="Arial"/>
            <w:color w:val="0000FF"/>
            <w:sz w:val="24"/>
            <w:szCs w:val="24"/>
            <w:u w:val="single"/>
          </w:rPr>
          <w:t>https://www.nia.nih.gov/alzheimers/clinical-trials/dominantly-inherited-alzheimer-network-dian</w:t>
        </w:r>
      </w:hyperlink>
      <w:r w:rsidR="00D32535" w:rsidRPr="00C87554">
        <w:rPr>
          <w:rFonts w:ascii="Arial" w:hAnsi="Arial" w:cs="Arial"/>
          <w:sz w:val="24"/>
          <w:szCs w:val="24"/>
        </w:rPr>
        <w:t xml:space="preserve">  </w:t>
      </w:r>
      <w:r w:rsidR="00AC7EFD" w:rsidRPr="00C87554">
        <w:rPr>
          <w:rFonts w:ascii="Arial" w:hAnsi="Arial" w:cs="Arial"/>
          <w:sz w:val="24"/>
          <w:szCs w:val="24"/>
        </w:rPr>
        <w:t>(</w:t>
      </w:r>
      <w:r w:rsidR="001F5F70" w:rsidRPr="00C87554">
        <w:rPr>
          <w:rFonts w:ascii="Arial" w:hAnsi="Arial" w:cs="Arial"/>
          <w:sz w:val="24"/>
          <w:szCs w:val="24"/>
        </w:rPr>
        <w:t xml:space="preserve">i </w:t>
      </w:r>
      <w:r w:rsidR="00AC7EFD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figli di genitori con una diagnosi di questa malattia hanno il 50% di probabilità di svilupparla alla stessa età dei genitori: ciò ha consentito ai ricercatori di analizzare cosa accade nel cervello anni prima della comparsa dei sintomi.)   </w:t>
      </w:r>
      <w:r w:rsidR="00D32535" w:rsidRPr="00C87554">
        <w:rPr>
          <w:rFonts w:ascii="Arial" w:hAnsi="Arial" w:cs="Arial"/>
          <w:color w:val="000000" w:themeColor="text1"/>
          <w:sz w:val="24"/>
          <w:szCs w:val="24"/>
        </w:rPr>
        <w:t>e</w:t>
      </w:r>
      <w:r w:rsidR="00D32535" w:rsidRPr="00C87554">
        <w:rPr>
          <w:rFonts w:ascii="Arial" w:hAnsi="Arial" w:cs="Arial"/>
          <w:sz w:val="24"/>
          <w:szCs w:val="24"/>
        </w:rPr>
        <w:t xml:space="preserve"> </w:t>
      </w:r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utilizzando </w:t>
      </w:r>
      <w:proofErr w:type="spellStart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ultrasensitive</w:t>
      </w:r>
      <w:proofErr w:type="spellEnd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immunoassay</w:t>
      </w:r>
      <w:proofErr w:type="spellEnd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technology</w:t>
      </w:r>
      <w:proofErr w:type="spellEnd"/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="00E82837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per il </w:t>
      </w:r>
      <w:proofErr w:type="spellStart"/>
      <w:r w:rsidR="00E82837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r w:rsidR="00E82837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ha dimostrato che le concentrazioni di </w:t>
      </w:r>
      <w:proofErr w:type="spellStart"/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nel liquor (n=187) e nel siero (n=405) sono co</w:t>
      </w:r>
      <w:r w:rsidR="002D7DFE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rrelate fra </w:t>
      </w:r>
      <w:proofErr w:type="gramStart"/>
      <w:r w:rsidR="002D7DFE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loro  e</w:t>
      </w:r>
      <w:proofErr w:type="gramEnd"/>
      <w:r w:rsidR="002D7DFE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già </w:t>
      </w:r>
      <w:r w:rsidR="002D7DFE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elevate </w:t>
      </w:r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nella fase </w:t>
      </w:r>
      <w:proofErr w:type="spellStart"/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presintomatica</w:t>
      </w:r>
      <w:proofErr w:type="spellEnd"/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della casistica di Alzheimer familiare. L’ osservazione longitudinale di questa casistica ha permesso di stabilire</w:t>
      </w:r>
      <w:r w:rsidR="00DB25DA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che I cambiamenti nel tempo dei livelli </w:t>
      </w:r>
      <w:proofErr w:type="gramStart"/>
      <w:r w:rsidR="00DB25DA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di </w:t>
      </w:r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proofErr w:type="gramEnd"/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possono discriminare i</w:t>
      </w:r>
      <w:r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portatori di mutazioni rispett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o ai non portatori di mutazioni  molto tempo prima rispetto ai valori assoluti di </w:t>
      </w:r>
      <w:proofErr w:type="spellStart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(16,2 versus 6,8 anni</w:t>
      </w:r>
      <w:r w:rsidR="0015261D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,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prima della comparsa dei sintomi).  La fase sintomatica in questa casistica si associa ad un picco del </w:t>
      </w:r>
      <w:proofErr w:type="spellStart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associato a un assottigliamento della corteccia valutato con NMR e in modo inferiore con </w:t>
      </w:r>
      <w:r w:rsidR="00796342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il deposito di </w:t>
      </w:r>
      <w:r w:rsidR="000B5859">
        <w:rPr>
          <w:rFonts w:ascii="Arial" w:hAnsi="Arial" w:cs="Arial"/>
          <w:color w:val="222222"/>
          <w:sz w:val="24"/>
          <w:szCs w:val="24"/>
          <w:shd w:val="clear" w:color="auto" w:fill="FFFFFF"/>
          <w:lang w:val="en-US"/>
        </w:rPr>
        <w:t>β</w:t>
      </w:r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-am</w:t>
      </w:r>
      <w:r w:rsidR="00BF70BE">
        <w:rPr>
          <w:rFonts w:ascii="Arial" w:hAnsi="Arial" w:cs="Arial"/>
          <w:color w:val="222222"/>
          <w:sz w:val="24"/>
          <w:szCs w:val="24"/>
          <w:shd w:val="clear" w:color="auto" w:fill="FFFFFF"/>
        </w:rPr>
        <w:t>i</w:t>
      </w:r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loide 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e con anomalie del metabolism</w:t>
      </w:r>
      <w:r w:rsidR="00BF70BE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o 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del glucosio (rilevati con la PET); I livelli di </w:t>
      </w:r>
      <w:proofErr w:type="spellStart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sono predittivi dell’ assottigliamento della cortec</w:t>
      </w:r>
      <w:r w:rsidR="002D7DFE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cia e anche del peggioramento 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delle prestazioni co</w:t>
      </w:r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g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nitive (valutate con MMSE e con test di memoria logica):</w:t>
      </w:r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si raccomanda </w:t>
      </w:r>
      <w:r w:rsidR="000B5859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in questi casi </w:t>
      </w:r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la valutazione longitudinale del </w:t>
      </w:r>
      <w:proofErr w:type="spellStart"/>
      <w:r w:rsidR="00B03AD4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NfL</w:t>
      </w:r>
      <w:proofErr w:type="spellEnd"/>
      <w:r w:rsidR="00552CC2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="0015261D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(Nature </w:t>
      </w:r>
      <w:proofErr w:type="spellStart"/>
      <w:r w:rsidR="0015261D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Med</w:t>
      </w:r>
      <w:proofErr w:type="spellEnd"/>
      <w:r w:rsidR="0015261D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2019; 25: 277)</w:t>
      </w:r>
      <w:r w:rsidR="00EC2A8C" w:rsidRPr="00AA4C54">
        <w:rPr>
          <w:rFonts w:ascii="Arial" w:hAnsi="Arial" w:cs="Arial"/>
          <w:color w:val="222222"/>
          <w:sz w:val="24"/>
          <w:szCs w:val="24"/>
          <w:shd w:val="clear" w:color="auto" w:fill="FFFFFF"/>
        </w:rPr>
        <w:t>.</w:t>
      </w:r>
      <w:bookmarkStart w:id="0" w:name="_GoBack"/>
      <w:bookmarkEnd w:id="0"/>
    </w:p>
    <w:p w:rsidR="008C693E" w:rsidRPr="00AA4C54" w:rsidRDefault="008C693E" w:rsidP="003547C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F45D92" w:rsidRDefault="00AC7EFD" w:rsidP="003547C6">
      <w:pPr>
        <w:spacing w:before="48" w:after="84" w:line="240" w:lineRule="auto"/>
        <w:jc w:val="both"/>
        <w:outlineLvl w:val="0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C87554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>Altri studi sull</w:t>
      </w:r>
      <w:r w:rsidR="00F45D92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>a associazione fra andamento</w:t>
      </w:r>
      <w:r w:rsidRPr="00C87554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 xml:space="preserve"> longitudinale dei </w:t>
      </w:r>
      <w:r w:rsidR="00F45D92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 xml:space="preserve">livelli di </w:t>
      </w:r>
      <w:proofErr w:type="spellStart"/>
      <w:proofErr w:type="gramStart"/>
      <w:r w:rsidRPr="00C87554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>NfL</w:t>
      </w:r>
      <w:proofErr w:type="spellEnd"/>
      <w:r w:rsidRPr="00C87554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 xml:space="preserve">  e</w:t>
      </w:r>
      <w:proofErr w:type="gramEnd"/>
      <w:r w:rsidRPr="00C87554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 xml:space="preserve"> altri parametri del declino cognitivo</w:t>
      </w:r>
      <w:r w:rsidR="00F45D92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 xml:space="preserve"> (in </w:t>
      </w:r>
      <w:r w:rsidRPr="00C87554"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  <w:t>particolare malattia di Alzheimer)</w:t>
      </w:r>
      <w:r w:rsidR="00F45D9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hanno dimostrato che le concentrazioni ematiche </w:t>
      </w: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di </w:t>
      </w:r>
      <w:proofErr w:type="spellStart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NfL</w:t>
      </w:r>
      <w:proofErr w:type="spellEnd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si correlano con altre misure di </w:t>
      </w:r>
      <w:proofErr w:type="spellStart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neurodegen</w:t>
      </w:r>
      <w:r w:rsidR="00C8336F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erazione</w:t>
      </w:r>
      <w:proofErr w:type="spellEnd"/>
      <w:r w:rsidR="00C8336F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; per</w:t>
      </w: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tanto </w:t>
      </w:r>
      <w:proofErr w:type="spellStart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NfL</w:t>
      </w:r>
      <w:proofErr w:type="spellEnd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potrebbe essere utilizzato con marker non invasivo per pesare l’ entità della </w:t>
      </w:r>
      <w:proofErr w:type="spellStart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neurodegenerazione</w:t>
      </w:r>
      <w:proofErr w:type="spellEnd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nel decorso</w:t>
      </w:r>
      <w:r w:rsidR="00F45D9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,</w:t>
      </w: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di solito molto lungo</w:t>
      </w:r>
      <w:r w:rsidR="00F45D9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,</w:t>
      </w: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della malattia di Alzheimer.</w:t>
      </w:r>
      <w:r w:rsidR="00C8336F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</w:p>
    <w:p w:rsidR="00C8336F" w:rsidRPr="00C87554" w:rsidRDefault="00C8336F" w:rsidP="003547C6">
      <w:pPr>
        <w:spacing w:before="48" w:after="84" w:line="240" w:lineRule="auto"/>
        <w:jc w:val="both"/>
        <w:outlineLvl w:val="0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L’ inc</w:t>
      </w:r>
      <w:r w:rsidR="00326327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remento rapido di </w:t>
      </w:r>
      <w:proofErr w:type="spellStart"/>
      <w:r w:rsidR="00326327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NfL</w:t>
      </w:r>
      <w:proofErr w:type="spellEnd"/>
      <w:r w:rsidR="00326327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si associa</w:t>
      </w: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all’ aumento più rapido degli altri mar</w:t>
      </w:r>
      <w:r w:rsidR="003547C6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ker di danno neuronale nel CSF</w:t>
      </w:r>
      <w:r w:rsidR="00326327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="003547C6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(</w:t>
      </w: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Tau e βA), a più rapida atrofia e </w:t>
      </w:r>
      <w:proofErr w:type="spellStart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ipometabolismo</w:t>
      </w:r>
      <w:proofErr w:type="spellEnd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cerebrale e al peggioramento dei test cognitivi. </w:t>
      </w:r>
      <w:hyperlink r:id="rId10" w:history="1">
        <w:r w:rsidR="00796342" w:rsidRPr="00C87554">
          <w:rPr>
            <w:color w:val="0000FF"/>
            <w:sz w:val="24"/>
            <w:szCs w:val="24"/>
            <w:u w:val="single"/>
          </w:rPr>
          <w:t>https://jamanetwork.com/journals/jamaneurology/article-abstract/2731440</w:t>
        </w:r>
      </w:hyperlink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="003547C6"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.</w:t>
      </w:r>
    </w:p>
    <w:p w:rsidR="003547C6" w:rsidRPr="00C87554" w:rsidRDefault="003547C6" w:rsidP="003547C6">
      <w:pPr>
        <w:spacing w:before="48" w:after="84" w:line="240" w:lineRule="auto"/>
        <w:jc w:val="both"/>
        <w:outlineLvl w:val="0"/>
        <w:rPr>
          <w:rFonts w:ascii="Arial" w:eastAsia="Times New Roman" w:hAnsi="Arial" w:cs="Arial"/>
          <w:bCs/>
          <w:color w:val="333333"/>
          <w:kern w:val="36"/>
          <w:sz w:val="24"/>
          <w:szCs w:val="24"/>
          <w:lang w:eastAsia="it-IT"/>
        </w:rPr>
      </w:pPr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Pertanto esistono dati in favore della utilità del dosaggio dei </w:t>
      </w:r>
      <w:proofErr w:type="spellStart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NfL</w:t>
      </w:r>
      <w:proofErr w:type="spellEnd"/>
      <w:r w:rsidRPr="00C87554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nel sangue nella complessa e spesso tardiva diagnostica della malattia di Alzheimer. </w:t>
      </w:r>
    </w:p>
    <w:p w:rsidR="00DC15DD" w:rsidRPr="00AA4C54" w:rsidRDefault="00DC15DD" w:rsidP="003547C6">
      <w:pPr>
        <w:jc w:val="both"/>
        <w:rPr>
          <w:rFonts w:ascii="Arial" w:hAnsi="Arial" w:cs="Arial"/>
          <w:sz w:val="24"/>
          <w:szCs w:val="24"/>
        </w:rPr>
      </w:pPr>
    </w:p>
    <w:sectPr w:rsidR="00DC15DD" w:rsidRPr="00AA4C5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vP7B6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347526"/>
    <w:multiLevelType w:val="multilevel"/>
    <w:tmpl w:val="FA58C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82E0008"/>
    <w:multiLevelType w:val="multilevel"/>
    <w:tmpl w:val="DB060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4AB"/>
    <w:rsid w:val="000249D3"/>
    <w:rsid w:val="000B5859"/>
    <w:rsid w:val="0015261D"/>
    <w:rsid w:val="001540FF"/>
    <w:rsid w:val="001C144C"/>
    <w:rsid w:val="001F5F70"/>
    <w:rsid w:val="00234F7D"/>
    <w:rsid w:val="00262D0E"/>
    <w:rsid w:val="002D7DFE"/>
    <w:rsid w:val="00326327"/>
    <w:rsid w:val="003547C6"/>
    <w:rsid w:val="003630B1"/>
    <w:rsid w:val="003B24BF"/>
    <w:rsid w:val="003C6A07"/>
    <w:rsid w:val="003F241C"/>
    <w:rsid w:val="003F791D"/>
    <w:rsid w:val="00410EB2"/>
    <w:rsid w:val="004342B1"/>
    <w:rsid w:val="004914AB"/>
    <w:rsid w:val="004E5AAD"/>
    <w:rsid w:val="00552CC2"/>
    <w:rsid w:val="00590C90"/>
    <w:rsid w:val="006F2C20"/>
    <w:rsid w:val="007320FF"/>
    <w:rsid w:val="007353F5"/>
    <w:rsid w:val="00796342"/>
    <w:rsid w:val="00833278"/>
    <w:rsid w:val="008C693E"/>
    <w:rsid w:val="0091334A"/>
    <w:rsid w:val="009C4C1F"/>
    <w:rsid w:val="00A24464"/>
    <w:rsid w:val="00AA4C54"/>
    <w:rsid w:val="00AA79E5"/>
    <w:rsid w:val="00AC7EFD"/>
    <w:rsid w:val="00AD793D"/>
    <w:rsid w:val="00B00EAB"/>
    <w:rsid w:val="00B03AD4"/>
    <w:rsid w:val="00B06EF6"/>
    <w:rsid w:val="00B12DC7"/>
    <w:rsid w:val="00B7345E"/>
    <w:rsid w:val="00BB2CEB"/>
    <w:rsid w:val="00BF70BE"/>
    <w:rsid w:val="00C8336F"/>
    <w:rsid w:val="00C83399"/>
    <w:rsid w:val="00C83E33"/>
    <w:rsid w:val="00C87554"/>
    <w:rsid w:val="00CA0338"/>
    <w:rsid w:val="00D1403D"/>
    <w:rsid w:val="00D32535"/>
    <w:rsid w:val="00D559B2"/>
    <w:rsid w:val="00D87023"/>
    <w:rsid w:val="00DB25DA"/>
    <w:rsid w:val="00DC15DD"/>
    <w:rsid w:val="00E82837"/>
    <w:rsid w:val="00EB4B0E"/>
    <w:rsid w:val="00EC2A8C"/>
    <w:rsid w:val="00EE4729"/>
    <w:rsid w:val="00EF3A8E"/>
    <w:rsid w:val="00F364D8"/>
    <w:rsid w:val="00F3755E"/>
    <w:rsid w:val="00F45D92"/>
    <w:rsid w:val="00F51032"/>
    <w:rsid w:val="00F743D1"/>
    <w:rsid w:val="00F91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D263D"/>
  <w15:chartTrackingRefBased/>
  <w15:docId w15:val="{F3BF28E7-A9DB-459A-9827-57FE0C21C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C4C1F"/>
    <w:rPr>
      <w:color w:val="0563C1" w:themeColor="hyperlink"/>
      <w:u w:val="single"/>
    </w:rPr>
  </w:style>
  <w:style w:type="paragraph" w:styleId="Nessunaspaziatura">
    <w:name w:val="No Spacing"/>
    <w:uiPriority w:val="1"/>
    <w:qFormat/>
    <w:rsid w:val="007353F5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875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278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68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33876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15932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51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84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7654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9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29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53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233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000875">
                      <w:marLeft w:val="-15"/>
                      <w:marRight w:val="-1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626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3562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24281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16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850613">
                  <w:marLeft w:val="0"/>
                  <w:marRight w:val="0"/>
                  <w:marTop w:val="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198245">
                      <w:marLeft w:val="0"/>
                      <w:marRight w:val="0"/>
                      <w:marTop w:val="48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556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36" w:space="0" w:color="A11215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8838340">
              <w:marLeft w:val="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5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75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39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74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30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25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413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bi.nlm.nih.gov/pmc/articles/PMC6439969/" TargetMode="Externa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jamanetwork.com/journals/jamaneurology/article-abstract/273144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ia.nih.gov/alzheimers/clinical-trials/dominantly-inherited-alzheimer-network-dian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9EF762-A889-4061-A10C-6D2BAEE2D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677</Words>
  <Characters>3863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GIANFRANCO</dc:creator>
  <cp:keywords/>
  <dc:description/>
  <cp:lastModifiedBy>GIANFRANCO</cp:lastModifiedBy>
  <cp:revision>3</cp:revision>
  <cp:lastPrinted>2020-01-10T08:59:00Z</cp:lastPrinted>
  <dcterms:created xsi:type="dcterms:W3CDTF">2020-01-11T11:13:00Z</dcterms:created>
  <dcterms:modified xsi:type="dcterms:W3CDTF">2020-01-11T11:14:00Z</dcterms:modified>
</cp:coreProperties>
</file>