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8633" w14:textId="77777777" w:rsidR="003260F4" w:rsidRDefault="003260F4"/>
    <w:p w14:paraId="7756355B" w14:textId="77777777" w:rsidR="009E62EA" w:rsidRDefault="009E62EA"/>
    <w:p w14:paraId="48654B81" w14:textId="366FC307" w:rsidR="00532551" w:rsidRDefault="00262315">
      <w:pPr>
        <w:rPr>
          <w:rFonts w:ascii="Arial" w:hAnsi="Arial" w:cs="Arial"/>
          <w:sz w:val="36"/>
          <w:szCs w:val="36"/>
        </w:rPr>
      </w:pPr>
      <w:r w:rsidRPr="00262315">
        <w:rPr>
          <w:rFonts w:ascii="Arial" w:hAnsi="Arial" w:cs="Arial"/>
          <w:sz w:val="36"/>
          <w:szCs w:val="36"/>
        </w:rPr>
        <w:t>Long-</w:t>
      </w:r>
      <w:proofErr w:type="spellStart"/>
      <w:r w:rsidRPr="00262315">
        <w:rPr>
          <w:rFonts w:ascii="Arial" w:hAnsi="Arial" w:cs="Arial"/>
          <w:sz w:val="36"/>
          <w:szCs w:val="36"/>
        </w:rPr>
        <w:t>term</w:t>
      </w:r>
      <w:proofErr w:type="spellEnd"/>
      <w:r w:rsidRPr="00262315">
        <w:rPr>
          <w:rFonts w:ascii="Arial" w:hAnsi="Arial" w:cs="Arial"/>
          <w:sz w:val="36"/>
          <w:szCs w:val="36"/>
        </w:rPr>
        <w:t xml:space="preserve"> care </w:t>
      </w:r>
      <w:r w:rsidR="002967CA">
        <w:rPr>
          <w:rFonts w:ascii="Arial" w:hAnsi="Arial" w:cs="Arial"/>
          <w:sz w:val="36"/>
          <w:szCs w:val="36"/>
        </w:rPr>
        <w:t xml:space="preserve">per </w:t>
      </w:r>
      <w:r w:rsidRPr="00262315">
        <w:rPr>
          <w:rFonts w:ascii="Arial" w:hAnsi="Arial" w:cs="Arial"/>
          <w:sz w:val="36"/>
          <w:szCs w:val="36"/>
        </w:rPr>
        <w:t xml:space="preserve">l’anziano: le prestazioni sanitarie </w:t>
      </w:r>
      <w:r w:rsidR="006805ED">
        <w:rPr>
          <w:rFonts w:ascii="Arial" w:hAnsi="Arial" w:cs="Arial"/>
          <w:sz w:val="36"/>
          <w:szCs w:val="36"/>
        </w:rPr>
        <w:t xml:space="preserve">oggi </w:t>
      </w:r>
      <w:r w:rsidR="002967CA">
        <w:rPr>
          <w:rFonts w:ascii="Arial" w:hAnsi="Arial" w:cs="Arial"/>
          <w:sz w:val="36"/>
          <w:szCs w:val="36"/>
        </w:rPr>
        <w:t xml:space="preserve">disponibili </w:t>
      </w:r>
      <w:r w:rsidR="00AC3744">
        <w:rPr>
          <w:rFonts w:ascii="Arial" w:hAnsi="Arial" w:cs="Arial"/>
          <w:sz w:val="36"/>
          <w:szCs w:val="36"/>
        </w:rPr>
        <w:t xml:space="preserve">nelle residenze </w:t>
      </w:r>
      <w:r w:rsidRPr="00262315">
        <w:rPr>
          <w:rFonts w:ascii="Arial" w:hAnsi="Arial" w:cs="Arial"/>
          <w:sz w:val="36"/>
          <w:szCs w:val="36"/>
        </w:rPr>
        <w:t xml:space="preserve">sono adeguate e </w:t>
      </w:r>
      <w:proofErr w:type="gramStart"/>
      <w:r w:rsidRPr="00262315">
        <w:rPr>
          <w:rFonts w:ascii="Arial" w:hAnsi="Arial" w:cs="Arial"/>
          <w:sz w:val="36"/>
          <w:szCs w:val="36"/>
        </w:rPr>
        <w:t>competenti ?</w:t>
      </w:r>
      <w:proofErr w:type="gramEnd"/>
    </w:p>
    <w:p w14:paraId="436FA896" w14:textId="710C77B2" w:rsidR="006D2C0C" w:rsidRDefault="002967CA" w:rsidP="006D2C0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63636"/>
          <w:sz w:val="27"/>
          <w:szCs w:val="27"/>
          <w:lang w:eastAsia="it-IT"/>
        </w:rPr>
      </w:pPr>
      <w:r w:rsidRPr="001444CF">
        <w:rPr>
          <w:rFonts w:ascii="Arial" w:hAnsi="Arial" w:cs="Arial"/>
          <w:sz w:val="28"/>
          <w:szCs w:val="28"/>
        </w:rPr>
        <w:t xml:space="preserve">In Italia </w:t>
      </w:r>
      <w:r w:rsidR="001444CF" w:rsidRPr="001444CF">
        <w:rPr>
          <w:rFonts w:ascii="Arial" w:hAnsi="Arial" w:cs="Arial"/>
          <w:sz w:val="28"/>
          <w:szCs w:val="28"/>
        </w:rPr>
        <w:t xml:space="preserve">sarebbero </w:t>
      </w:r>
      <w:r w:rsidR="001444CF" w:rsidRPr="001444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solo 287.685 posti letto nelle strutture per anziani, contro gli oltre 900 mila della Germania </w:t>
      </w:r>
      <w:r w:rsidR="008F5FCD">
        <w:rPr>
          <w:rFonts w:ascii="Arial" w:hAnsi="Arial" w:cs="Arial"/>
          <w:color w:val="000000"/>
          <w:sz w:val="28"/>
          <w:szCs w:val="28"/>
          <w:shd w:val="clear" w:color="auto" w:fill="FFFFFF"/>
        </w:rPr>
        <w:t>e</w:t>
      </w:r>
      <w:r w:rsidR="001444CF" w:rsidRPr="001444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 600 mila della Francia. Con 18,3 posti letto ogni mille residenti over 65, l’Italia si trova così al quart’ultimo posto nella classifica Ocse e ben al di sotto della media europea</w:t>
      </w:r>
      <w:r w:rsidR="001444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</w:t>
      </w:r>
      <w:r w:rsidR="001444CF" w:rsidRPr="001444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situazione </w:t>
      </w:r>
      <w:r w:rsidR="005006D6">
        <w:rPr>
          <w:rFonts w:ascii="Arial" w:hAnsi="Arial" w:cs="Arial"/>
          <w:color w:val="000000"/>
          <w:sz w:val="28"/>
          <w:szCs w:val="28"/>
          <w:shd w:val="clear" w:color="auto" w:fill="FFFFFF"/>
        </w:rPr>
        <w:t>è</w:t>
      </w:r>
      <w:r w:rsidR="001444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molto eterogenea </w:t>
      </w:r>
      <w:r w:rsidR="001444CF" w:rsidRPr="001444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nelle singole regioni; nel Nord ci sono circa 29 posti letto per 1000 anziani </w:t>
      </w:r>
      <w:r w:rsidR="001444CF" w:rsidRPr="003D19B0">
        <w:rPr>
          <w:rFonts w:ascii="Arial" w:hAnsi="Arial" w:cs="Arial"/>
          <w:color w:val="000000"/>
          <w:sz w:val="28"/>
          <w:szCs w:val="28"/>
          <w:shd w:val="clear" w:color="auto" w:fill="FFFFFF"/>
        </w:rPr>
        <w:t>over 65; la media nazionale è 18; la German</w:t>
      </w:r>
      <w:r w:rsidR="003A2BC9" w:rsidRPr="003D19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ia ha 54 posti letto per mille </w:t>
      </w:r>
      <w:r w:rsidR="001444CF" w:rsidRPr="003D19B0">
        <w:rPr>
          <w:rFonts w:ascii="Arial" w:hAnsi="Arial" w:cs="Arial"/>
          <w:color w:val="000000"/>
          <w:sz w:val="28"/>
          <w:szCs w:val="28"/>
          <w:shd w:val="clear" w:color="auto" w:fill="FFFFFF"/>
        </w:rPr>
        <w:t>anziani.</w:t>
      </w:r>
      <w:r w:rsidR="003D19B0" w:rsidRPr="003D19B0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 I problemi posti dagli anziani sono diffusi: la </w:t>
      </w:r>
      <w:r w:rsidR="003D19B0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SIGG ha una storia </w:t>
      </w:r>
      <w:proofErr w:type="gramStart"/>
      <w:r w:rsidR="003D19B0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tendenzialmente </w:t>
      </w:r>
      <w:r w:rsidR="003D19B0" w:rsidRPr="003D19B0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="003D19B0" w:rsidRPr="003D19B0">
        <w:rPr>
          <w:rFonts w:ascii="Arial" w:hAnsi="Arial" w:cs="Arial"/>
          <w:color w:val="333333"/>
          <w:sz w:val="28"/>
          <w:szCs w:val="28"/>
          <w:shd w:val="clear" w:color="auto" w:fill="FAFAFA"/>
        </w:rPr>
        <w:t>ospedalocentrica</w:t>
      </w:r>
      <w:proofErr w:type="spellEnd"/>
      <w:proofErr w:type="gramEnd"/>
      <w:r w:rsidR="003D19B0" w:rsidRPr="003D19B0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, ma </w:t>
      </w:r>
      <w:r w:rsidR="00FE0B18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dispone di </w:t>
      </w:r>
      <w:r w:rsidR="003D19B0" w:rsidRPr="003D19B0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 sezioni dedicate ai problemi delle cure </w:t>
      </w:r>
      <w:r w:rsidR="003D19B0" w:rsidRPr="00E5291C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territoriali dalla </w:t>
      </w:r>
      <w:proofErr w:type="spellStart"/>
      <w:r w:rsidR="003D19B0" w:rsidRPr="00E5291C">
        <w:rPr>
          <w:rFonts w:ascii="Arial" w:hAnsi="Arial" w:cs="Arial"/>
          <w:color w:val="333333"/>
          <w:sz w:val="28"/>
          <w:szCs w:val="28"/>
          <w:shd w:val="clear" w:color="auto" w:fill="FAFAFA"/>
        </w:rPr>
        <w:t>primary</w:t>
      </w:r>
      <w:proofErr w:type="spellEnd"/>
      <w:r w:rsidR="003D19B0" w:rsidRPr="00E5291C">
        <w:rPr>
          <w:rFonts w:ascii="Arial" w:hAnsi="Arial" w:cs="Arial"/>
          <w:color w:val="333333"/>
          <w:sz w:val="28"/>
          <w:szCs w:val="28"/>
          <w:shd w:val="clear" w:color="auto" w:fill="FAFAFA"/>
        </w:rPr>
        <w:t xml:space="preserve"> care alle nursing home; questi setting sempre più affollati  forniscono servizi di rilevante importanza, ma la loro qualità è fortemente minata da problemi di risorse  economiche, ma anche professionali e tecniche.</w:t>
      </w:r>
      <w:r w:rsidR="00E5291C" w:rsidRPr="00E5291C">
        <w:rPr>
          <w:rFonts w:ascii="Arial" w:hAnsi="Arial" w:cs="Arial"/>
          <w:sz w:val="28"/>
          <w:szCs w:val="28"/>
        </w:rPr>
        <w:t xml:space="preserve"> </w:t>
      </w:r>
      <w:r w:rsidR="00E5291C">
        <w:rPr>
          <w:rFonts w:ascii="Arial" w:hAnsi="Arial" w:cs="Arial"/>
          <w:sz w:val="28"/>
          <w:szCs w:val="28"/>
        </w:rPr>
        <w:t xml:space="preserve">Vecchiezza, </w:t>
      </w:r>
      <w:proofErr w:type="spellStart"/>
      <w:r w:rsidR="00E5291C" w:rsidRPr="00E5291C">
        <w:rPr>
          <w:rFonts w:ascii="Arial" w:hAnsi="Arial" w:cs="Arial"/>
          <w:sz w:val="28"/>
          <w:szCs w:val="28"/>
        </w:rPr>
        <w:t>multimorbilità</w:t>
      </w:r>
      <w:proofErr w:type="spellEnd"/>
      <w:r w:rsidR="00E5291C" w:rsidRPr="00E5291C">
        <w:rPr>
          <w:rFonts w:ascii="Arial" w:hAnsi="Arial" w:cs="Arial"/>
          <w:sz w:val="28"/>
          <w:szCs w:val="28"/>
        </w:rPr>
        <w:t>, fragilità</w:t>
      </w:r>
      <w:r w:rsidR="00E5291C">
        <w:rPr>
          <w:rFonts w:ascii="Arial" w:hAnsi="Arial" w:cs="Arial"/>
          <w:sz w:val="28"/>
          <w:szCs w:val="28"/>
        </w:rPr>
        <w:t xml:space="preserve"> e</w:t>
      </w:r>
      <w:r w:rsidR="00E5291C" w:rsidRPr="00E5291C">
        <w:rPr>
          <w:rFonts w:ascii="Arial" w:hAnsi="Arial" w:cs="Arial"/>
          <w:sz w:val="28"/>
          <w:szCs w:val="28"/>
        </w:rPr>
        <w:t xml:space="preserve"> compromissione delle </w:t>
      </w:r>
      <w:proofErr w:type="gramStart"/>
      <w:r w:rsidR="00E5291C" w:rsidRPr="00E5291C">
        <w:rPr>
          <w:rFonts w:ascii="Arial" w:hAnsi="Arial" w:cs="Arial"/>
          <w:sz w:val="28"/>
          <w:szCs w:val="28"/>
        </w:rPr>
        <w:t>ADL  sono</w:t>
      </w:r>
      <w:proofErr w:type="gramEnd"/>
      <w:r w:rsidR="00335E38">
        <w:rPr>
          <w:rFonts w:ascii="Arial" w:hAnsi="Arial" w:cs="Arial"/>
          <w:sz w:val="28"/>
          <w:szCs w:val="28"/>
        </w:rPr>
        <w:t xml:space="preserve"> frequenti n</w:t>
      </w:r>
      <w:r w:rsidR="00E5291C" w:rsidRPr="00E5291C">
        <w:rPr>
          <w:rFonts w:ascii="Arial" w:hAnsi="Arial" w:cs="Arial"/>
          <w:sz w:val="28"/>
          <w:szCs w:val="28"/>
        </w:rPr>
        <w:t xml:space="preserve">egli anziani ospiti di struttura che li predispongono  ad episodi di acuzie che comportano </w:t>
      </w:r>
      <w:r w:rsidR="00335E38">
        <w:rPr>
          <w:rFonts w:ascii="Arial" w:hAnsi="Arial" w:cs="Arial"/>
          <w:sz w:val="28"/>
          <w:szCs w:val="28"/>
        </w:rPr>
        <w:t>a volte l’</w:t>
      </w:r>
      <w:r w:rsidR="00E5291C" w:rsidRPr="00E5291C">
        <w:rPr>
          <w:rFonts w:ascii="Arial" w:hAnsi="Arial" w:cs="Arial"/>
          <w:sz w:val="28"/>
          <w:szCs w:val="28"/>
        </w:rPr>
        <w:t>accesso all’ ospedale</w:t>
      </w:r>
      <w:r w:rsidR="008F0461">
        <w:rPr>
          <w:rFonts w:ascii="Arial" w:hAnsi="Arial" w:cs="Arial"/>
          <w:sz w:val="28"/>
          <w:szCs w:val="28"/>
        </w:rPr>
        <w:t xml:space="preserve">. </w:t>
      </w:r>
      <w:r w:rsidR="00E5291C">
        <w:rPr>
          <w:rFonts w:ascii="MmnfwgAdvTT86d47313" w:hAnsi="MmnfwgAdvTT86d47313" w:cs="MmnfwgAdvTT86d47313"/>
          <w:sz w:val="20"/>
          <w:szCs w:val="20"/>
        </w:rPr>
        <w:t xml:space="preserve"> </w:t>
      </w:r>
      <w:r w:rsidR="008F0461" w:rsidRPr="0041390D">
        <w:rPr>
          <w:rFonts w:ascii="Arial" w:eastAsia="Times New Roman" w:hAnsi="Arial" w:cs="Arial"/>
          <w:color w:val="363636"/>
          <w:sz w:val="27"/>
          <w:szCs w:val="27"/>
          <w:lang w:eastAsia="it-IT"/>
        </w:rPr>
        <w:t>L’Italia è un Paese anziano che continua a</w:t>
      </w:r>
      <w:r w:rsidR="00E948BF">
        <w:rPr>
          <w:rFonts w:ascii="Arial" w:eastAsia="Times New Roman" w:hAnsi="Arial" w:cs="Arial"/>
          <w:color w:val="363636"/>
          <w:sz w:val="27"/>
          <w:szCs w:val="27"/>
          <w:lang w:eastAsia="it-IT"/>
        </w:rPr>
        <w:t>d</w:t>
      </w:r>
      <w:r w:rsidR="008F0461" w:rsidRPr="0041390D">
        <w:rPr>
          <w:rFonts w:ascii="Arial" w:eastAsia="Times New Roman" w:hAnsi="Arial" w:cs="Arial"/>
          <w:color w:val="363636"/>
          <w:sz w:val="27"/>
          <w:szCs w:val="27"/>
          <w:lang w:eastAsia="it-IT"/>
        </w:rPr>
        <w:t xml:space="preserve"> investire poco in Long </w:t>
      </w:r>
      <w:proofErr w:type="spellStart"/>
      <w:r w:rsidR="008F0461" w:rsidRPr="0041390D">
        <w:rPr>
          <w:rFonts w:ascii="Arial" w:eastAsia="Times New Roman" w:hAnsi="Arial" w:cs="Arial"/>
          <w:color w:val="363636"/>
          <w:sz w:val="27"/>
          <w:szCs w:val="27"/>
          <w:lang w:eastAsia="it-IT"/>
        </w:rPr>
        <w:t>Term</w:t>
      </w:r>
      <w:proofErr w:type="spellEnd"/>
      <w:r w:rsidR="008F0461" w:rsidRPr="0041390D">
        <w:rPr>
          <w:rFonts w:ascii="Arial" w:eastAsia="Times New Roman" w:hAnsi="Arial" w:cs="Arial"/>
          <w:color w:val="363636"/>
          <w:sz w:val="27"/>
          <w:szCs w:val="27"/>
          <w:lang w:eastAsia="it-IT"/>
        </w:rPr>
        <w:t xml:space="preserve"> Care: dal 2013 al 2016 gli </w:t>
      </w:r>
      <w:r w:rsidR="008F0461" w:rsidRPr="003547CD">
        <w:rPr>
          <w:rFonts w:ascii="Arial" w:eastAsia="Times New Roman" w:hAnsi="Arial" w:cs="Arial"/>
          <w:color w:val="363636"/>
          <w:sz w:val="27"/>
          <w:szCs w:val="27"/>
          <w:lang w:eastAsia="it-IT"/>
        </w:rPr>
        <w:t>over 65 non autosufficienti in Italia sono aumentati del</w:t>
      </w:r>
      <w:r w:rsidR="008F0461" w:rsidRPr="0041390D">
        <w:rPr>
          <w:rFonts w:ascii="Arial" w:eastAsia="Times New Roman" w:hAnsi="Arial" w:cs="Arial"/>
          <w:b/>
          <w:bCs/>
          <w:color w:val="363636"/>
          <w:sz w:val="27"/>
          <w:szCs w:val="27"/>
          <w:lang w:eastAsia="it-IT"/>
        </w:rPr>
        <w:t xml:space="preserve"> </w:t>
      </w:r>
      <w:r w:rsidR="008F0461" w:rsidRPr="003547CD">
        <w:rPr>
          <w:rFonts w:ascii="Arial" w:eastAsia="Times New Roman" w:hAnsi="Arial" w:cs="Arial"/>
          <w:color w:val="363636"/>
          <w:sz w:val="27"/>
          <w:szCs w:val="27"/>
          <w:lang w:eastAsia="it-IT"/>
        </w:rPr>
        <w:t>4,6%,</w:t>
      </w:r>
      <w:r w:rsidR="008F0461" w:rsidRPr="0041390D">
        <w:rPr>
          <w:rFonts w:ascii="Arial" w:eastAsia="Times New Roman" w:hAnsi="Arial" w:cs="Arial"/>
          <w:color w:val="363636"/>
          <w:sz w:val="27"/>
          <w:szCs w:val="27"/>
          <w:lang w:eastAsia="it-IT"/>
        </w:rPr>
        <w:t xml:space="preserve"> mentre il </w:t>
      </w:r>
      <w:r w:rsidR="008F0461" w:rsidRPr="003547CD">
        <w:rPr>
          <w:rFonts w:ascii="Arial" w:eastAsia="Times New Roman" w:hAnsi="Arial" w:cs="Arial"/>
          <w:color w:val="363636"/>
          <w:sz w:val="27"/>
          <w:szCs w:val="27"/>
          <w:lang w:eastAsia="it-IT"/>
        </w:rPr>
        <w:t>tasso di copertura del bisogno</w:t>
      </w:r>
      <w:r w:rsidR="00AC3744">
        <w:rPr>
          <w:rFonts w:ascii="Arial" w:eastAsia="Times New Roman" w:hAnsi="Arial" w:cs="Arial"/>
          <w:color w:val="363636"/>
          <w:sz w:val="27"/>
          <w:szCs w:val="27"/>
          <w:lang w:eastAsia="it-IT"/>
        </w:rPr>
        <w:t xml:space="preserve"> – </w:t>
      </w:r>
      <w:r w:rsidR="008F0461" w:rsidRPr="0041390D">
        <w:rPr>
          <w:rFonts w:ascii="Arial" w:eastAsia="Times New Roman" w:hAnsi="Arial" w:cs="Arial"/>
          <w:color w:val="363636"/>
          <w:sz w:val="27"/>
          <w:szCs w:val="27"/>
          <w:lang w:eastAsia="it-IT"/>
        </w:rPr>
        <w:t>numero di anziani non autosufficienti raggiunti da servizi pubblici residenziali e diurni – è rimasto pressoché </w:t>
      </w:r>
      <w:r w:rsidR="008F0461" w:rsidRPr="003547CD">
        <w:rPr>
          <w:rFonts w:ascii="Arial" w:eastAsia="Times New Roman" w:hAnsi="Arial" w:cs="Arial"/>
          <w:color w:val="363636"/>
          <w:sz w:val="27"/>
          <w:szCs w:val="27"/>
          <w:lang w:eastAsia="it-IT"/>
        </w:rPr>
        <w:t>stabile</w:t>
      </w:r>
      <w:r w:rsidR="00E948BF">
        <w:rPr>
          <w:rFonts w:ascii="Arial" w:eastAsia="Times New Roman" w:hAnsi="Arial" w:cs="Arial"/>
          <w:color w:val="363636"/>
          <w:sz w:val="27"/>
          <w:szCs w:val="27"/>
          <w:lang w:eastAsia="it-IT"/>
        </w:rPr>
        <w:t>.</w:t>
      </w:r>
    </w:p>
    <w:p w14:paraId="5DA49B73" w14:textId="0D167ABC" w:rsidR="00620D17" w:rsidRPr="006D2C0C" w:rsidRDefault="001444CF" w:rsidP="006D2C0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63636"/>
          <w:sz w:val="27"/>
          <w:szCs w:val="27"/>
          <w:lang w:eastAsia="it-IT"/>
        </w:rPr>
      </w:pPr>
      <w:r>
        <w:rPr>
          <w:rFonts w:ascii="Arial" w:hAnsi="Arial" w:cs="Arial"/>
          <w:sz w:val="28"/>
          <w:szCs w:val="28"/>
        </w:rPr>
        <w:t>L</w:t>
      </w:r>
      <w:r w:rsidR="002967CA">
        <w:rPr>
          <w:rFonts w:ascii="Arial" w:hAnsi="Arial" w:cs="Arial"/>
          <w:sz w:val="28"/>
          <w:szCs w:val="28"/>
        </w:rPr>
        <w:t xml:space="preserve">e informazioni riguardanti le procedure operative curativo-assistenziali e i risultati ottenuti in questo importante setting </w:t>
      </w:r>
      <w:r w:rsidR="005006D6">
        <w:rPr>
          <w:rFonts w:ascii="Arial" w:hAnsi="Arial" w:cs="Arial"/>
          <w:sz w:val="28"/>
          <w:szCs w:val="28"/>
        </w:rPr>
        <w:t xml:space="preserve">geriatrico </w:t>
      </w:r>
      <w:r w:rsidR="002967CA">
        <w:rPr>
          <w:rFonts w:ascii="Arial" w:hAnsi="Arial" w:cs="Arial"/>
          <w:sz w:val="28"/>
          <w:szCs w:val="28"/>
        </w:rPr>
        <w:t>sono poche</w:t>
      </w:r>
      <w:r w:rsidR="000C43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di solito </w:t>
      </w:r>
      <w:r w:rsidR="00E47565">
        <w:rPr>
          <w:rFonts w:ascii="Arial" w:hAnsi="Arial" w:cs="Arial"/>
          <w:sz w:val="28"/>
          <w:szCs w:val="28"/>
        </w:rPr>
        <w:t xml:space="preserve"> </w:t>
      </w:r>
      <w:r w:rsidR="00E5291C">
        <w:rPr>
          <w:rFonts w:ascii="Arial" w:hAnsi="Arial" w:cs="Arial"/>
          <w:sz w:val="28"/>
          <w:szCs w:val="28"/>
        </w:rPr>
        <w:t xml:space="preserve">di tipo </w:t>
      </w:r>
      <w:r w:rsidR="00B07CE6">
        <w:rPr>
          <w:rFonts w:ascii="Arial" w:hAnsi="Arial" w:cs="Arial"/>
          <w:sz w:val="28"/>
          <w:szCs w:val="28"/>
        </w:rPr>
        <w:t>economic</w:t>
      </w:r>
      <w:r w:rsidR="00E5291C">
        <w:rPr>
          <w:rFonts w:ascii="Arial" w:hAnsi="Arial" w:cs="Arial"/>
          <w:sz w:val="28"/>
          <w:szCs w:val="28"/>
        </w:rPr>
        <w:t>o</w:t>
      </w:r>
      <w:r w:rsidR="00B07CE6">
        <w:rPr>
          <w:rFonts w:ascii="Arial" w:hAnsi="Arial" w:cs="Arial"/>
          <w:sz w:val="28"/>
          <w:szCs w:val="28"/>
        </w:rPr>
        <w:t xml:space="preserve"> ed architettonic</w:t>
      </w:r>
      <w:r w:rsidR="00E5291C">
        <w:rPr>
          <w:rFonts w:ascii="Arial" w:hAnsi="Arial" w:cs="Arial"/>
          <w:sz w:val="28"/>
          <w:szCs w:val="28"/>
        </w:rPr>
        <w:t xml:space="preserve">o  </w:t>
      </w:r>
      <w:hyperlink r:id="rId5" w:history="1">
        <w:r w:rsidR="00460657" w:rsidRPr="0025631A">
          <w:rPr>
            <w:rStyle w:val="Collegamentoipertestuale"/>
            <w:rFonts w:ascii="Arial" w:hAnsi="Arial" w:cs="Arial"/>
            <w:sz w:val="28"/>
            <w:szCs w:val="28"/>
          </w:rPr>
          <w:t>https://www.ceps.eu/download/publication/?id=6724&amp;pdf=ENEPRI%20_ANCIEN_%20RR%20No%2080%20Italy%20edited%20final.pdf</w:t>
        </w:r>
      </w:hyperlink>
      <w:r w:rsidR="00CC6C86">
        <w:rPr>
          <w:rFonts w:ascii="Arial" w:hAnsi="Arial" w:cs="Arial"/>
          <w:sz w:val="28"/>
          <w:szCs w:val="28"/>
        </w:rPr>
        <w:t xml:space="preserve"> ; le i</w:t>
      </w:r>
      <w:r>
        <w:rPr>
          <w:rFonts w:ascii="Arial" w:hAnsi="Arial" w:cs="Arial"/>
          <w:sz w:val="28"/>
          <w:szCs w:val="28"/>
        </w:rPr>
        <w:t xml:space="preserve">nformazioni disponibili non risultano </w:t>
      </w:r>
      <w:r w:rsidR="00CC6C86">
        <w:rPr>
          <w:rFonts w:ascii="Arial" w:hAnsi="Arial" w:cs="Arial"/>
          <w:sz w:val="28"/>
          <w:szCs w:val="28"/>
        </w:rPr>
        <w:t xml:space="preserve"> </w:t>
      </w:r>
      <w:r w:rsidR="00957B14">
        <w:rPr>
          <w:rFonts w:ascii="Arial" w:hAnsi="Arial" w:cs="Arial"/>
          <w:sz w:val="28"/>
          <w:szCs w:val="28"/>
        </w:rPr>
        <w:t xml:space="preserve">in genere </w:t>
      </w:r>
      <w:r w:rsidR="00CC6C86">
        <w:rPr>
          <w:rFonts w:ascii="Arial" w:hAnsi="Arial" w:cs="Arial"/>
          <w:sz w:val="28"/>
          <w:szCs w:val="28"/>
        </w:rPr>
        <w:t>esaurienti da un punto di vista geriatrico.</w:t>
      </w:r>
      <w:r>
        <w:rPr>
          <w:rFonts w:ascii="Arial" w:hAnsi="Arial" w:cs="Arial"/>
          <w:sz w:val="28"/>
          <w:szCs w:val="28"/>
        </w:rPr>
        <w:t xml:space="preserve"> </w:t>
      </w:r>
      <w:r w:rsidR="00E47565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olte strutture hanno compiti </w:t>
      </w:r>
      <w:r w:rsidR="00957B14">
        <w:rPr>
          <w:rFonts w:ascii="Arial" w:hAnsi="Arial" w:cs="Arial"/>
          <w:sz w:val="28"/>
          <w:szCs w:val="28"/>
        </w:rPr>
        <w:t>prevalentemente di custodia</w:t>
      </w:r>
      <w:r>
        <w:rPr>
          <w:rFonts w:ascii="Arial" w:hAnsi="Arial" w:cs="Arial"/>
          <w:sz w:val="28"/>
          <w:szCs w:val="28"/>
        </w:rPr>
        <w:t xml:space="preserve">; </w:t>
      </w:r>
      <w:r w:rsidR="00E47565">
        <w:rPr>
          <w:rFonts w:ascii="Arial" w:hAnsi="Arial" w:cs="Arial"/>
          <w:sz w:val="28"/>
          <w:szCs w:val="28"/>
        </w:rPr>
        <w:t xml:space="preserve"> ma </w:t>
      </w:r>
      <w:r w:rsidR="00C35669">
        <w:rPr>
          <w:rFonts w:ascii="Arial" w:hAnsi="Arial" w:cs="Arial"/>
          <w:sz w:val="28"/>
          <w:szCs w:val="28"/>
        </w:rPr>
        <w:t>gli obiettivi qualifica</w:t>
      </w:r>
      <w:r w:rsidR="00443232">
        <w:rPr>
          <w:rFonts w:ascii="Arial" w:hAnsi="Arial" w:cs="Arial"/>
          <w:sz w:val="28"/>
          <w:szCs w:val="28"/>
        </w:rPr>
        <w:t>n</w:t>
      </w:r>
      <w:r w:rsidR="00C35669">
        <w:rPr>
          <w:rFonts w:ascii="Arial" w:hAnsi="Arial" w:cs="Arial"/>
          <w:sz w:val="28"/>
          <w:szCs w:val="28"/>
        </w:rPr>
        <w:t xml:space="preserve">ti di </w:t>
      </w:r>
      <w:r w:rsidR="00C35669" w:rsidRPr="00FE0B18">
        <w:rPr>
          <w:rFonts w:ascii="Arial" w:hAnsi="Arial" w:cs="Arial"/>
          <w:sz w:val="28"/>
          <w:szCs w:val="28"/>
        </w:rPr>
        <w:t>questo importante setting curativo-assistenziale</w:t>
      </w:r>
      <w:r w:rsidR="00E47565" w:rsidRPr="00FE0B18">
        <w:rPr>
          <w:rFonts w:ascii="Arial" w:hAnsi="Arial" w:cs="Arial"/>
          <w:sz w:val="28"/>
          <w:szCs w:val="28"/>
        </w:rPr>
        <w:t xml:space="preserve"> sono ril</w:t>
      </w:r>
      <w:r w:rsidR="005B63B4">
        <w:rPr>
          <w:rFonts w:ascii="Arial" w:hAnsi="Arial" w:cs="Arial"/>
          <w:sz w:val="28"/>
          <w:szCs w:val="28"/>
        </w:rPr>
        <w:t xml:space="preserve">evanti </w:t>
      </w:r>
      <w:r w:rsidR="00B13DBE">
        <w:rPr>
          <w:rFonts w:ascii="Arial" w:hAnsi="Arial" w:cs="Arial"/>
          <w:sz w:val="28"/>
          <w:szCs w:val="28"/>
        </w:rPr>
        <w:t>e dovrebbero essere raggiunti</w:t>
      </w:r>
      <w:r w:rsidR="00957B14">
        <w:rPr>
          <w:rFonts w:ascii="Arial" w:hAnsi="Arial" w:cs="Arial"/>
          <w:sz w:val="28"/>
          <w:szCs w:val="28"/>
        </w:rPr>
        <w:t xml:space="preserve"> -</w:t>
      </w:r>
      <w:r w:rsidR="00E47565" w:rsidRPr="00FE0B18">
        <w:rPr>
          <w:rFonts w:ascii="Arial" w:hAnsi="Arial" w:cs="Arial"/>
          <w:sz w:val="28"/>
          <w:szCs w:val="28"/>
        </w:rPr>
        <w:t xml:space="preserve"> </w:t>
      </w:r>
      <w:r w:rsidR="00C35669" w:rsidRPr="00FE0B18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C35669" w:rsidRPr="00FE0B18">
          <w:rPr>
            <w:rFonts w:ascii="Arial" w:hAnsi="Arial" w:cs="Arial"/>
            <w:color w:val="0000FF"/>
            <w:sz w:val="28"/>
            <w:szCs w:val="28"/>
            <w:u w:val="single"/>
          </w:rPr>
          <w:t>https://www.sdabocconi.it/it/sda-bocconi-insight/la-performance-nei-network-dalle-strutture-ai-comportamenti</w:t>
        </w:r>
      </w:hyperlink>
      <w:r w:rsidR="005B63B4">
        <w:rPr>
          <w:rFonts w:ascii="Arial" w:hAnsi="Arial" w:cs="Arial"/>
          <w:color w:val="0000FF"/>
          <w:sz w:val="28"/>
          <w:szCs w:val="28"/>
          <w:u w:val="single"/>
        </w:rPr>
        <w:t>;</w:t>
      </w:r>
      <w:r w:rsidR="00B13DBE" w:rsidRPr="00B13DBE">
        <w:rPr>
          <w:rFonts w:ascii="Arial" w:hAnsi="Arial" w:cs="Arial"/>
          <w:sz w:val="28"/>
          <w:szCs w:val="28"/>
        </w:rPr>
        <w:t xml:space="preserve"> essi</w:t>
      </w:r>
      <w:r w:rsidR="00B13DBE" w:rsidRPr="00B13DBE">
        <w:rPr>
          <w:rFonts w:ascii="Arial" w:hAnsi="Arial" w:cs="Arial"/>
          <w:sz w:val="28"/>
          <w:szCs w:val="28"/>
          <w:u w:val="single"/>
        </w:rPr>
        <w:t xml:space="preserve"> </w:t>
      </w:r>
      <w:r w:rsidRPr="00FE0B18">
        <w:rPr>
          <w:rFonts w:ascii="Arial" w:hAnsi="Arial" w:cs="Arial"/>
          <w:sz w:val="28"/>
          <w:szCs w:val="28"/>
        </w:rPr>
        <w:t>sono la qualità della vita</w:t>
      </w:r>
      <w:r w:rsidR="00957B14">
        <w:rPr>
          <w:rFonts w:ascii="Arial" w:hAnsi="Arial" w:cs="Arial"/>
          <w:sz w:val="28"/>
          <w:szCs w:val="28"/>
        </w:rPr>
        <w:t xml:space="preserve">, la sicurezza </w:t>
      </w:r>
      <w:r w:rsidRPr="00FE0B18">
        <w:rPr>
          <w:rFonts w:ascii="Arial" w:hAnsi="Arial" w:cs="Arial"/>
          <w:sz w:val="28"/>
          <w:szCs w:val="28"/>
        </w:rPr>
        <w:t xml:space="preserve"> e l’ autosufficienza motoria e mentale</w:t>
      </w:r>
      <w:r w:rsidR="00957B14">
        <w:rPr>
          <w:rFonts w:ascii="Arial" w:hAnsi="Arial" w:cs="Arial"/>
          <w:sz w:val="28"/>
          <w:szCs w:val="28"/>
        </w:rPr>
        <w:t xml:space="preserve"> dell’ ospite</w:t>
      </w:r>
      <w:r w:rsidRPr="00FE0B18">
        <w:rPr>
          <w:rFonts w:ascii="Arial" w:hAnsi="Arial" w:cs="Arial"/>
          <w:sz w:val="28"/>
          <w:szCs w:val="28"/>
        </w:rPr>
        <w:t xml:space="preserve">. </w:t>
      </w:r>
      <w:r w:rsidR="00620D17" w:rsidRPr="00FE0B18">
        <w:rPr>
          <w:rFonts w:ascii="Arial" w:hAnsi="Arial" w:cs="Arial"/>
          <w:sz w:val="28"/>
          <w:szCs w:val="28"/>
        </w:rPr>
        <w:t xml:space="preserve"> </w:t>
      </w:r>
      <w:r w:rsidR="00443232" w:rsidRPr="00FE0B18">
        <w:rPr>
          <w:rFonts w:ascii="Arial" w:hAnsi="Arial" w:cs="Arial"/>
          <w:sz w:val="28"/>
          <w:szCs w:val="28"/>
        </w:rPr>
        <w:t>In altre nazio</w:t>
      </w:r>
      <w:r w:rsidR="00460657">
        <w:rPr>
          <w:rFonts w:ascii="Arial" w:hAnsi="Arial" w:cs="Arial"/>
          <w:sz w:val="28"/>
          <w:szCs w:val="28"/>
        </w:rPr>
        <w:t xml:space="preserve">ni sono disponibili </w:t>
      </w:r>
      <w:r w:rsidR="00443232" w:rsidRPr="00FE0B18">
        <w:rPr>
          <w:rFonts w:ascii="Arial" w:hAnsi="Arial" w:cs="Arial"/>
          <w:sz w:val="28"/>
          <w:szCs w:val="28"/>
        </w:rPr>
        <w:t xml:space="preserve"> si</w:t>
      </w:r>
      <w:r w:rsidR="00B13DBE">
        <w:rPr>
          <w:rFonts w:ascii="Arial" w:hAnsi="Arial" w:cs="Arial"/>
          <w:sz w:val="28"/>
          <w:szCs w:val="28"/>
        </w:rPr>
        <w:t>ti specifici per</w:t>
      </w:r>
      <w:r w:rsidR="00443232" w:rsidRPr="00FE0B18">
        <w:rPr>
          <w:rFonts w:ascii="Arial" w:hAnsi="Arial" w:cs="Arial"/>
          <w:sz w:val="28"/>
          <w:szCs w:val="28"/>
        </w:rPr>
        <w:t xml:space="preserve"> migliorare la qualità delle cure e d</w:t>
      </w:r>
      <w:r w:rsidR="00AC3744">
        <w:rPr>
          <w:rFonts w:ascii="Arial" w:hAnsi="Arial" w:cs="Arial"/>
          <w:sz w:val="28"/>
          <w:szCs w:val="28"/>
        </w:rPr>
        <w:t>ell’ assistenza; si veda:</w:t>
      </w:r>
      <w:hyperlink r:id="rId7" w:history="1">
        <w:r w:rsidR="00443232" w:rsidRPr="00FE0B18">
          <w:rPr>
            <w:rFonts w:ascii="Arial" w:hAnsi="Arial" w:cs="Arial"/>
            <w:color w:val="0000FF"/>
            <w:sz w:val="28"/>
            <w:szCs w:val="28"/>
            <w:u w:val="single"/>
          </w:rPr>
          <w:t>https://www.england.nhs.uk/publication/my-home-life-promoting-quality-of-life-in-care-homes/</w:t>
        </w:r>
      </w:hyperlink>
    </w:p>
    <w:p w14:paraId="54956439" w14:textId="77777777" w:rsidR="006D2C0C" w:rsidRDefault="008E7D37">
      <w:pPr>
        <w:rPr>
          <w:rFonts w:ascii="Arial" w:hAnsi="Arial" w:cs="Arial"/>
          <w:sz w:val="28"/>
          <w:szCs w:val="28"/>
        </w:rPr>
      </w:pPr>
      <w:r w:rsidRPr="00FE0B18">
        <w:rPr>
          <w:rFonts w:ascii="Arial" w:hAnsi="Arial" w:cs="Arial"/>
          <w:sz w:val="28"/>
          <w:szCs w:val="28"/>
        </w:rPr>
        <w:t>La clinica del residente è condiz</w:t>
      </w:r>
      <w:r w:rsidR="006D6B37" w:rsidRPr="00FE0B18">
        <w:rPr>
          <w:rFonts w:ascii="Arial" w:hAnsi="Arial" w:cs="Arial"/>
          <w:sz w:val="28"/>
          <w:szCs w:val="28"/>
        </w:rPr>
        <w:t>i</w:t>
      </w:r>
      <w:r w:rsidRPr="00FE0B18">
        <w:rPr>
          <w:rFonts w:ascii="Arial" w:hAnsi="Arial" w:cs="Arial"/>
          <w:sz w:val="28"/>
          <w:szCs w:val="28"/>
        </w:rPr>
        <w:t xml:space="preserve">onata grandemente dalla </w:t>
      </w:r>
      <w:r w:rsidR="00E47565" w:rsidRPr="00FE0B18">
        <w:rPr>
          <w:rFonts w:ascii="Arial" w:hAnsi="Arial" w:cs="Arial"/>
          <w:sz w:val="28"/>
          <w:szCs w:val="28"/>
        </w:rPr>
        <w:t xml:space="preserve">funzionalità </w:t>
      </w:r>
      <w:r w:rsidR="006D2C0C">
        <w:rPr>
          <w:rFonts w:ascii="Arial" w:hAnsi="Arial" w:cs="Arial"/>
          <w:sz w:val="28"/>
          <w:szCs w:val="28"/>
        </w:rPr>
        <w:t xml:space="preserve">fisica e mentale </w:t>
      </w:r>
      <w:r w:rsidR="00E47565" w:rsidRPr="00FE0B18">
        <w:rPr>
          <w:rFonts w:ascii="Arial" w:hAnsi="Arial" w:cs="Arial"/>
          <w:sz w:val="28"/>
          <w:szCs w:val="28"/>
        </w:rPr>
        <w:t xml:space="preserve">e dalla </w:t>
      </w:r>
      <w:proofErr w:type="spellStart"/>
      <w:r w:rsidR="00532551" w:rsidRPr="00FE0B18">
        <w:rPr>
          <w:rFonts w:ascii="Arial" w:hAnsi="Arial" w:cs="Arial"/>
          <w:sz w:val="28"/>
          <w:szCs w:val="28"/>
        </w:rPr>
        <w:t>multimorbilità</w:t>
      </w:r>
      <w:proofErr w:type="spellEnd"/>
      <w:r w:rsidR="00443232">
        <w:rPr>
          <w:rFonts w:ascii="Arial" w:hAnsi="Arial" w:cs="Arial"/>
          <w:sz w:val="28"/>
          <w:szCs w:val="28"/>
        </w:rPr>
        <w:t xml:space="preserve">; questa </w:t>
      </w:r>
      <w:proofErr w:type="gramStart"/>
      <w:r w:rsidR="00443232">
        <w:rPr>
          <w:rFonts w:ascii="Arial" w:hAnsi="Arial" w:cs="Arial"/>
          <w:sz w:val="28"/>
          <w:szCs w:val="28"/>
        </w:rPr>
        <w:t xml:space="preserve">è </w:t>
      </w:r>
      <w:r>
        <w:rPr>
          <w:rFonts w:ascii="Arial" w:hAnsi="Arial" w:cs="Arial"/>
          <w:sz w:val="28"/>
          <w:szCs w:val="28"/>
        </w:rPr>
        <w:t xml:space="preserve"> </w:t>
      </w:r>
      <w:r w:rsidR="00532551" w:rsidRPr="00532551">
        <w:rPr>
          <w:rFonts w:ascii="Arial" w:hAnsi="Arial" w:cs="Arial"/>
          <w:sz w:val="28"/>
          <w:szCs w:val="28"/>
        </w:rPr>
        <w:t>sempre</w:t>
      </w:r>
      <w:proofErr w:type="gramEnd"/>
      <w:r w:rsidR="00532551" w:rsidRPr="00532551">
        <w:rPr>
          <w:rFonts w:ascii="Arial" w:hAnsi="Arial" w:cs="Arial"/>
          <w:sz w:val="28"/>
          <w:szCs w:val="28"/>
        </w:rPr>
        <w:t xml:space="preserve"> più rilevante </w:t>
      </w:r>
      <w:r w:rsidR="009D1C0C">
        <w:rPr>
          <w:rFonts w:ascii="Arial" w:hAnsi="Arial" w:cs="Arial"/>
          <w:sz w:val="28"/>
          <w:szCs w:val="28"/>
        </w:rPr>
        <w:t>in Geriatria</w:t>
      </w:r>
      <w:r w:rsidR="00A525E2">
        <w:rPr>
          <w:rFonts w:ascii="Arial" w:hAnsi="Arial" w:cs="Arial"/>
          <w:sz w:val="28"/>
          <w:szCs w:val="28"/>
        </w:rPr>
        <w:t xml:space="preserve"> </w:t>
      </w:r>
      <w:r w:rsidR="006D2C0C">
        <w:rPr>
          <w:rFonts w:ascii="Arial" w:hAnsi="Arial" w:cs="Arial"/>
          <w:sz w:val="28"/>
          <w:szCs w:val="28"/>
        </w:rPr>
        <w:t xml:space="preserve">(vedi figura che segue): </w:t>
      </w:r>
      <w:r w:rsidR="00E47565">
        <w:rPr>
          <w:rFonts w:ascii="Arial" w:hAnsi="Arial" w:cs="Arial"/>
          <w:sz w:val="28"/>
          <w:szCs w:val="28"/>
        </w:rPr>
        <w:t xml:space="preserve"> </w:t>
      </w:r>
      <w:r w:rsidR="00532551" w:rsidRPr="00532551">
        <w:rPr>
          <w:rFonts w:ascii="Arial" w:hAnsi="Arial" w:cs="Arial"/>
          <w:sz w:val="28"/>
          <w:szCs w:val="28"/>
        </w:rPr>
        <w:t xml:space="preserve">condiziona il benessere </w:t>
      </w:r>
      <w:r w:rsidR="006D2C0C">
        <w:rPr>
          <w:rFonts w:ascii="Arial" w:hAnsi="Arial" w:cs="Arial"/>
          <w:sz w:val="28"/>
          <w:szCs w:val="28"/>
        </w:rPr>
        <w:t xml:space="preserve">complessivo </w:t>
      </w:r>
      <w:r w:rsidR="00532551" w:rsidRPr="00532551">
        <w:rPr>
          <w:rFonts w:ascii="Arial" w:hAnsi="Arial" w:cs="Arial"/>
          <w:sz w:val="28"/>
          <w:szCs w:val="28"/>
        </w:rPr>
        <w:t xml:space="preserve">dell’ anziano, </w:t>
      </w:r>
      <w:r w:rsidR="00E47565">
        <w:rPr>
          <w:rFonts w:ascii="Arial" w:hAnsi="Arial" w:cs="Arial"/>
          <w:sz w:val="28"/>
          <w:szCs w:val="28"/>
        </w:rPr>
        <w:lastRenderedPageBreak/>
        <w:t xml:space="preserve">ed è una possibile </w:t>
      </w:r>
      <w:r w:rsidR="006D2C0C">
        <w:rPr>
          <w:rFonts w:ascii="Arial" w:hAnsi="Arial" w:cs="Arial"/>
          <w:sz w:val="28"/>
          <w:szCs w:val="28"/>
        </w:rPr>
        <w:t xml:space="preserve">guida per </w:t>
      </w:r>
      <w:r w:rsidR="00957B14">
        <w:rPr>
          <w:rFonts w:ascii="Arial" w:hAnsi="Arial" w:cs="Arial"/>
          <w:sz w:val="28"/>
          <w:szCs w:val="28"/>
        </w:rPr>
        <w:t xml:space="preserve">individuare i </w:t>
      </w:r>
      <w:r w:rsidR="006D2C0C">
        <w:rPr>
          <w:rFonts w:ascii="Arial" w:hAnsi="Arial" w:cs="Arial"/>
          <w:sz w:val="28"/>
          <w:szCs w:val="28"/>
        </w:rPr>
        <w:t>criteri della</w:t>
      </w:r>
      <w:r w:rsidR="006A371D">
        <w:rPr>
          <w:rFonts w:ascii="Arial" w:hAnsi="Arial" w:cs="Arial"/>
          <w:sz w:val="28"/>
          <w:szCs w:val="28"/>
        </w:rPr>
        <w:t xml:space="preserve"> corretta </w:t>
      </w:r>
      <w:r w:rsidR="00532551" w:rsidRPr="00532551">
        <w:rPr>
          <w:rFonts w:ascii="Arial" w:hAnsi="Arial" w:cs="Arial"/>
          <w:sz w:val="28"/>
          <w:szCs w:val="28"/>
        </w:rPr>
        <w:t xml:space="preserve"> utilizzazione dei servizi</w:t>
      </w:r>
      <w:r w:rsidR="009D1C0C">
        <w:rPr>
          <w:rFonts w:ascii="Arial" w:hAnsi="Arial" w:cs="Arial"/>
          <w:sz w:val="28"/>
          <w:szCs w:val="28"/>
        </w:rPr>
        <w:t xml:space="preserve">. </w:t>
      </w:r>
      <w:r w:rsidR="00532551" w:rsidRPr="00532551">
        <w:rPr>
          <w:rFonts w:ascii="Arial" w:hAnsi="Arial" w:cs="Arial"/>
          <w:sz w:val="28"/>
          <w:szCs w:val="28"/>
        </w:rPr>
        <w:t xml:space="preserve"> </w:t>
      </w:r>
      <w:r w:rsidR="006D2C0C">
        <w:rPr>
          <w:rFonts w:ascii="Arial" w:hAnsi="Arial" w:cs="Arial"/>
          <w:sz w:val="28"/>
          <w:szCs w:val="28"/>
        </w:rPr>
        <w:t xml:space="preserve"> </w:t>
      </w:r>
      <w:r w:rsidR="00532551" w:rsidRPr="00532551">
        <w:rPr>
          <w:rFonts w:ascii="Arial" w:hAnsi="Arial" w:cs="Arial"/>
          <w:sz w:val="28"/>
          <w:szCs w:val="28"/>
        </w:rPr>
        <w:t>Al link che</w:t>
      </w:r>
      <w:r w:rsidR="004F43FC">
        <w:rPr>
          <w:rFonts w:ascii="Arial" w:hAnsi="Arial" w:cs="Arial"/>
          <w:sz w:val="28"/>
          <w:szCs w:val="28"/>
        </w:rPr>
        <w:t xml:space="preserve"> segue si trovano  considerazioni sulla rilevanza della </w:t>
      </w:r>
      <w:proofErr w:type="spellStart"/>
      <w:r w:rsidR="004F43FC">
        <w:rPr>
          <w:rFonts w:ascii="Arial" w:hAnsi="Arial" w:cs="Arial"/>
          <w:sz w:val="28"/>
          <w:szCs w:val="28"/>
        </w:rPr>
        <w:t>multimorbilità</w:t>
      </w:r>
      <w:proofErr w:type="spellEnd"/>
      <w:r w:rsidR="009D1C0C">
        <w:rPr>
          <w:rFonts w:ascii="Arial" w:hAnsi="Arial" w:cs="Arial"/>
          <w:sz w:val="28"/>
          <w:szCs w:val="28"/>
        </w:rPr>
        <w:t xml:space="preserve"> </w:t>
      </w:r>
      <w:r w:rsidR="004F43FC">
        <w:rPr>
          <w:rFonts w:ascii="Arial" w:hAnsi="Arial" w:cs="Arial"/>
          <w:sz w:val="28"/>
          <w:szCs w:val="28"/>
        </w:rPr>
        <w:t xml:space="preserve"> nell’ anziano residente in struttur</w:t>
      </w:r>
      <w:r w:rsidR="009D1C0C">
        <w:rPr>
          <w:rFonts w:ascii="Arial" w:hAnsi="Arial" w:cs="Arial"/>
          <w:sz w:val="28"/>
          <w:szCs w:val="28"/>
        </w:rPr>
        <w:t>a e a</w:t>
      </w:r>
      <w:r w:rsidR="00223107">
        <w:rPr>
          <w:rFonts w:ascii="Arial" w:hAnsi="Arial" w:cs="Arial"/>
          <w:sz w:val="28"/>
          <w:szCs w:val="28"/>
        </w:rPr>
        <w:t xml:space="preserve"> domicilio;</w:t>
      </w:r>
      <w:r w:rsidR="00862C36">
        <w:rPr>
          <w:rFonts w:ascii="Arial" w:hAnsi="Arial" w:cs="Arial"/>
          <w:sz w:val="28"/>
          <w:szCs w:val="28"/>
        </w:rPr>
        <w:t xml:space="preserve"> di solito </w:t>
      </w:r>
      <w:r w:rsidR="004F43FC">
        <w:rPr>
          <w:rFonts w:ascii="Arial" w:hAnsi="Arial" w:cs="Arial"/>
          <w:sz w:val="28"/>
          <w:szCs w:val="28"/>
        </w:rPr>
        <w:t xml:space="preserve">non </w:t>
      </w:r>
      <w:r w:rsidR="00223107">
        <w:rPr>
          <w:rFonts w:ascii="Arial" w:hAnsi="Arial" w:cs="Arial"/>
          <w:sz w:val="28"/>
          <w:szCs w:val="28"/>
        </w:rPr>
        <w:t xml:space="preserve">è </w:t>
      </w:r>
      <w:r w:rsidR="004F43FC">
        <w:rPr>
          <w:rFonts w:ascii="Arial" w:hAnsi="Arial" w:cs="Arial"/>
          <w:sz w:val="28"/>
          <w:szCs w:val="28"/>
        </w:rPr>
        <w:t xml:space="preserve">adeguatamente considerata, anche nei suoi aspetti clinici e terapeutici </w:t>
      </w:r>
      <w:hyperlink r:id="rId8" w:anchor="d.en.293236" w:history="1">
        <w:r w:rsidR="00532551" w:rsidRPr="00532551">
          <w:rPr>
            <w:rFonts w:ascii="Arial" w:hAnsi="Arial" w:cs="Arial"/>
            <w:color w:val="0000FF"/>
            <w:sz w:val="28"/>
            <w:szCs w:val="28"/>
            <w:u w:val="single"/>
          </w:rPr>
          <w:t>http://www.bristol.ac.uk/primaryhealthcare/researchthemes/organisationanddelivery/ltcmultimorbidity.html#d.en.293236</w:t>
        </w:r>
      </w:hyperlink>
      <w:r w:rsidR="00862C36">
        <w:rPr>
          <w:rFonts w:ascii="Arial" w:hAnsi="Arial" w:cs="Arial"/>
          <w:color w:val="0000FF"/>
          <w:sz w:val="28"/>
          <w:szCs w:val="28"/>
          <w:u w:val="single"/>
        </w:rPr>
        <w:t>;</w:t>
      </w:r>
      <w:r w:rsidR="00862C36">
        <w:rPr>
          <w:rFonts w:ascii="Arial" w:hAnsi="Arial" w:cs="Arial"/>
          <w:color w:val="0000FF"/>
          <w:sz w:val="28"/>
          <w:szCs w:val="28"/>
        </w:rPr>
        <w:t xml:space="preserve"> </w:t>
      </w:r>
      <w:r w:rsidR="00862C36">
        <w:rPr>
          <w:rFonts w:ascii="Arial" w:hAnsi="Arial" w:cs="Arial"/>
          <w:sz w:val="28"/>
          <w:szCs w:val="28"/>
        </w:rPr>
        <w:t xml:space="preserve">è possibile che alcuni pattern di </w:t>
      </w:r>
      <w:proofErr w:type="spellStart"/>
      <w:r w:rsidR="00862C36">
        <w:rPr>
          <w:rFonts w:ascii="Arial" w:hAnsi="Arial" w:cs="Arial"/>
          <w:sz w:val="28"/>
          <w:szCs w:val="28"/>
        </w:rPr>
        <w:t>multimorbilità</w:t>
      </w:r>
      <w:proofErr w:type="spellEnd"/>
      <w:r w:rsidR="00862C36">
        <w:rPr>
          <w:rFonts w:ascii="Arial" w:hAnsi="Arial" w:cs="Arial"/>
          <w:sz w:val="28"/>
          <w:szCs w:val="28"/>
        </w:rPr>
        <w:t xml:space="preserve"> o cluster siano associati alla emergenza di particolari sindromi ger</w:t>
      </w:r>
      <w:r w:rsidR="00E47565">
        <w:rPr>
          <w:rFonts w:ascii="Arial" w:hAnsi="Arial" w:cs="Arial"/>
          <w:sz w:val="28"/>
          <w:szCs w:val="28"/>
        </w:rPr>
        <w:t xml:space="preserve">iatriche come le cadute o altre. </w:t>
      </w:r>
    </w:p>
    <w:p w14:paraId="25FE5F6C" w14:textId="145D265C" w:rsidR="00A525E2" w:rsidRDefault="00A525E2">
      <w:pPr>
        <w:rPr>
          <w:rFonts w:ascii="Arial" w:hAnsi="Arial" w:cs="Arial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4308028" wp14:editId="246A6496">
            <wp:extent cx="4415155" cy="2423787"/>
            <wp:effectExtent l="0" t="0" r="4445" b="0"/>
            <wp:docPr id="3" name="Immagine 3" descr="http://www.onlinejacc.org/content/accj/71/19/2149/F2.large.jpg?width=800&amp;height=600&amp;carouse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linejacc.org/content/accj/71/19/2149/F2.large.jpg?width=800&amp;height=600&amp;carousel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347" cy="243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AFF08" w14:textId="462AD141" w:rsidR="006D2C0C" w:rsidRDefault="00E47565" w:rsidP="006D2C0C">
      <w:pPr>
        <w:spacing w:after="0" w:line="270" w:lineRule="atLeast"/>
        <w:rPr>
          <w:rFonts w:ascii="Arial" w:eastAsia="SourceSansPro-Regular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vulnerabilità </w:t>
      </w:r>
      <w:proofErr w:type="gramStart"/>
      <w:r>
        <w:rPr>
          <w:rFonts w:ascii="Arial" w:hAnsi="Arial" w:cs="Arial"/>
          <w:sz w:val="28"/>
          <w:szCs w:val="28"/>
        </w:rPr>
        <w:t>dell’ ospite</w:t>
      </w:r>
      <w:proofErr w:type="gramEnd"/>
      <w:r>
        <w:rPr>
          <w:rFonts w:ascii="Arial" w:hAnsi="Arial" w:cs="Arial"/>
          <w:sz w:val="28"/>
          <w:szCs w:val="28"/>
        </w:rPr>
        <w:t xml:space="preserve"> opportunamente misurata </w:t>
      </w:r>
      <w:r w:rsidR="00862C36">
        <w:rPr>
          <w:rFonts w:ascii="Arial" w:hAnsi="Arial" w:cs="Arial"/>
          <w:sz w:val="28"/>
          <w:szCs w:val="28"/>
        </w:rPr>
        <w:t xml:space="preserve"> potrebbe consentire di </w:t>
      </w:r>
      <w:r w:rsidR="00FE0B18">
        <w:rPr>
          <w:rFonts w:ascii="Arial" w:hAnsi="Arial" w:cs="Arial"/>
          <w:sz w:val="28"/>
          <w:szCs w:val="28"/>
        </w:rPr>
        <w:t xml:space="preserve">ridurre alcuni </w:t>
      </w:r>
      <w:r w:rsidR="00862C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2C36">
        <w:rPr>
          <w:rFonts w:ascii="Arial" w:hAnsi="Arial" w:cs="Arial"/>
          <w:sz w:val="28"/>
          <w:szCs w:val="28"/>
        </w:rPr>
        <w:t>outcome</w:t>
      </w:r>
      <w:proofErr w:type="spellEnd"/>
      <w:r w:rsidR="00862C36">
        <w:rPr>
          <w:rFonts w:ascii="Arial" w:hAnsi="Arial" w:cs="Arial"/>
          <w:sz w:val="28"/>
          <w:szCs w:val="28"/>
        </w:rPr>
        <w:t xml:space="preserve"> negativi e in part</w:t>
      </w:r>
      <w:r w:rsidR="00085711">
        <w:rPr>
          <w:rFonts w:ascii="Arial" w:hAnsi="Arial" w:cs="Arial"/>
          <w:sz w:val="28"/>
          <w:szCs w:val="28"/>
        </w:rPr>
        <w:t>i</w:t>
      </w:r>
      <w:r w:rsidR="00862C36">
        <w:rPr>
          <w:rFonts w:ascii="Arial" w:hAnsi="Arial" w:cs="Arial"/>
          <w:sz w:val="28"/>
          <w:szCs w:val="28"/>
        </w:rPr>
        <w:t>c</w:t>
      </w:r>
      <w:r w:rsidR="00085711">
        <w:rPr>
          <w:rFonts w:ascii="Arial" w:hAnsi="Arial" w:cs="Arial"/>
          <w:sz w:val="28"/>
          <w:szCs w:val="28"/>
        </w:rPr>
        <w:t>o</w:t>
      </w:r>
      <w:r w:rsidR="00957B14">
        <w:rPr>
          <w:rFonts w:ascii="Arial" w:hAnsi="Arial" w:cs="Arial"/>
          <w:sz w:val="28"/>
          <w:szCs w:val="28"/>
        </w:rPr>
        <w:t xml:space="preserve">lare la dipendenza </w:t>
      </w:r>
      <w:r w:rsidR="00862C36">
        <w:rPr>
          <w:rFonts w:ascii="Arial" w:hAnsi="Arial" w:cs="Arial"/>
          <w:sz w:val="28"/>
          <w:szCs w:val="28"/>
        </w:rPr>
        <w:t>.</w:t>
      </w:r>
      <w:r w:rsidR="0057668D">
        <w:rPr>
          <w:rFonts w:ascii="Arial" w:hAnsi="Arial" w:cs="Arial"/>
          <w:sz w:val="28"/>
          <w:szCs w:val="28"/>
        </w:rPr>
        <w:t xml:space="preserve"> </w:t>
      </w:r>
      <w:r w:rsidR="0057668D" w:rsidRPr="0057668D">
        <w:rPr>
          <w:rFonts w:ascii="Arial" w:hAnsi="Arial" w:cs="Arial"/>
          <w:sz w:val="28"/>
          <w:szCs w:val="28"/>
        </w:rPr>
        <w:t xml:space="preserve">La </w:t>
      </w:r>
      <w:proofErr w:type="spellStart"/>
      <w:r w:rsidR="0057668D" w:rsidRPr="0057668D">
        <w:rPr>
          <w:rFonts w:ascii="Arial" w:hAnsi="Arial" w:cs="Arial"/>
          <w:sz w:val="28"/>
          <w:szCs w:val="28"/>
        </w:rPr>
        <w:t>multimorbidità</w:t>
      </w:r>
      <w:proofErr w:type="spellEnd"/>
      <w:r w:rsidR="0057668D" w:rsidRPr="0057668D">
        <w:rPr>
          <w:rFonts w:ascii="Arial" w:hAnsi="Arial" w:cs="Arial"/>
          <w:sz w:val="28"/>
          <w:szCs w:val="28"/>
        </w:rPr>
        <w:t xml:space="preserve"> </w:t>
      </w:r>
      <w:r w:rsidR="00491A04">
        <w:rPr>
          <w:rFonts w:ascii="Arial" w:hAnsi="Arial" w:cs="Arial"/>
          <w:sz w:val="28"/>
          <w:szCs w:val="28"/>
        </w:rPr>
        <w:t>può</w:t>
      </w:r>
      <w:r w:rsidR="0057668D" w:rsidRPr="0057668D">
        <w:rPr>
          <w:rFonts w:ascii="Arial" w:hAnsi="Arial" w:cs="Arial"/>
          <w:sz w:val="28"/>
          <w:szCs w:val="28"/>
        </w:rPr>
        <w:t xml:space="preserve"> essere documentata in modo esauriente </w:t>
      </w:r>
      <w:r w:rsidR="00CC4664">
        <w:rPr>
          <w:rFonts w:ascii="Arial" w:hAnsi="Arial" w:cs="Arial"/>
          <w:sz w:val="28"/>
          <w:szCs w:val="28"/>
        </w:rPr>
        <w:t>(</w:t>
      </w:r>
      <w:r w:rsidR="006D2C0C">
        <w:rPr>
          <w:rFonts w:ascii="Arial" w:hAnsi="Arial" w:cs="Arial"/>
          <w:sz w:val="28"/>
          <w:szCs w:val="28"/>
        </w:rPr>
        <w:t xml:space="preserve">come </w:t>
      </w:r>
      <w:r>
        <w:rPr>
          <w:rFonts w:ascii="Arial" w:hAnsi="Arial" w:cs="Arial"/>
          <w:sz w:val="28"/>
          <w:szCs w:val="28"/>
        </w:rPr>
        <w:t>anc</w:t>
      </w:r>
      <w:r w:rsidR="00A525E2">
        <w:rPr>
          <w:rFonts w:ascii="Arial" w:hAnsi="Arial" w:cs="Arial"/>
          <w:sz w:val="28"/>
          <w:szCs w:val="28"/>
        </w:rPr>
        <w:t>he le sue variazioni nel tempo)</w:t>
      </w:r>
      <w:r>
        <w:rPr>
          <w:rFonts w:ascii="Arial" w:hAnsi="Arial" w:cs="Arial"/>
          <w:sz w:val="28"/>
          <w:szCs w:val="28"/>
        </w:rPr>
        <w:t>,</w:t>
      </w:r>
      <w:r w:rsidR="00B13DBE">
        <w:rPr>
          <w:rFonts w:ascii="Arial" w:hAnsi="Arial" w:cs="Arial"/>
          <w:sz w:val="28"/>
          <w:szCs w:val="28"/>
        </w:rPr>
        <w:t xml:space="preserve"> come è stato </w:t>
      </w:r>
      <w:proofErr w:type="gramStart"/>
      <w:r w:rsidR="00B13DBE">
        <w:rPr>
          <w:rFonts w:ascii="Arial" w:hAnsi="Arial" w:cs="Arial"/>
          <w:sz w:val="28"/>
          <w:szCs w:val="28"/>
        </w:rPr>
        <w:t xml:space="preserve">fatto </w:t>
      </w:r>
      <w:r w:rsidR="006A371D">
        <w:rPr>
          <w:rFonts w:ascii="Arial" w:hAnsi="Arial" w:cs="Arial"/>
          <w:sz w:val="28"/>
          <w:szCs w:val="28"/>
        </w:rPr>
        <w:t xml:space="preserve"> in</w:t>
      </w:r>
      <w:proofErr w:type="gramEnd"/>
      <w:r w:rsidR="006A371D">
        <w:rPr>
          <w:rFonts w:ascii="Arial" w:hAnsi="Arial" w:cs="Arial"/>
          <w:sz w:val="28"/>
          <w:szCs w:val="28"/>
        </w:rPr>
        <w:t xml:space="preserve"> anziani </w:t>
      </w:r>
      <w:r w:rsidR="00B13DBE">
        <w:rPr>
          <w:rFonts w:ascii="Arial" w:hAnsi="Arial" w:cs="Arial"/>
          <w:sz w:val="28"/>
          <w:szCs w:val="28"/>
        </w:rPr>
        <w:t>(</w:t>
      </w:r>
      <w:r w:rsidR="006A371D">
        <w:rPr>
          <w:rFonts w:ascii="Arial" w:hAnsi="Arial" w:cs="Arial"/>
          <w:sz w:val="28"/>
          <w:szCs w:val="28"/>
        </w:rPr>
        <w:t xml:space="preserve">età media 85 </w:t>
      </w:r>
      <w:r w:rsidR="00C27571">
        <w:rPr>
          <w:rFonts w:ascii="Arial" w:hAnsi="Arial" w:cs="Arial"/>
          <w:sz w:val="28"/>
          <w:szCs w:val="28"/>
        </w:rPr>
        <w:t xml:space="preserve"> anni</w:t>
      </w:r>
      <w:r w:rsidR="002B2CFB">
        <w:rPr>
          <w:rFonts w:ascii="Arial" w:hAnsi="Arial" w:cs="Arial"/>
          <w:sz w:val="28"/>
          <w:szCs w:val="28"/>
        </w:rPr>
        <w:t>)</w:t>
      </w:r>
      <w:r w:rsidR="00C27571">
        <w:rPr>
          <w:rFonts w:ascii="Arial" w:hAnsi="Arial" w:cs="Arial"/>
          <w:sz w:val="28"/>
          <w:szCs w:val="28"/>
        </w:rPr>
        <w:t xml:space="preserve">, </w:t>
      </w:r>
      <w:r w:rsidR="006A371D">
        <w:rPr>
          <w:rFonts w:ascii="Arial" w:hAnsi="Arial" w:cs="Arial"/>
          <w:sz w:val="28"/>
          <w:szCs w:val="28"/>
        </w:rPr>
        <w:t>residenti in NH.</w:t>
      </w:r>
      <w:r>
        <w:rPr>
          <w:rFonts w:ascii="Arial" w:hAnsi="Arial" w:cs="Arial"/>
          <w:sz w:val="28"/>
          <w:szCs w:val="28"/>
        </w:rPr>
        <w:t xml:space="preserve"> Il grado di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multimorbilità</w:t>
      </w:r>
      <w:proofErr w:type="spellEnd"/>
      <w:r>
        <w:rPr>
          <w:rFonts w:ascii="Arial" w:hAnsi="Arial" w:cs="Arial"/>
          <w:sz w:val="28"/>
          <w:szCs w:val="28"/>
        </w:rPr>
        <w:t xml:space="preserve">  è</w:t>
      </w:r>
      <w:proofErr w:type="gramEnd"/>
      <w:r>
        <w:rPr>
          <w:rFonts w:ascii="Arial" w:hAnsi="Arial" w:cs="Arial"/>
          <w:sz w:val="28"/>
          <w:szCs w:val="28"/>
        </w:rPr>
        <w:t xml:space="preserve"> definito da</w:t>
      </w:r>
      <w:r w:rsidR="00C27571">
        <w:rPr>
          <w:rFonts w:ascii="Arial" w:hAnsi="Arial" w:cs="Arial"/>
          <w:sz w:val="28"/>
          <w:szCs w:val="28"/>
        </w:rPr>
        <w:t xml:space="preserve"> uno score</w:t>
      </w:r>
      <w:r>
        <w:rPr>
          <w:rFonts w:ascii="Arial" w:hAnsi="Arial" w:cs="Arial"/>
          <w:sz w:val="28"/>
          <w:szCs w:val="28"/>
        </w:rPr>
        <w:t xml:space="preserve">; questo </w:t>
      </w:r>
      <w:r w:rsidR="00404C39">
        <w:rPr>
          <w:rFonts w:ascii="Arial" w:hAnsi="Arial" w:cs="Arial"/>
          <w:sz w:val="28"/>
          <w:szCs w:val="28"/>
        </w:rPr>
        <w:t>serve</w:t>
      </w:r>
      <w:r w:rsidR="00C275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anche per decidere </w:t>
      </w:r>
      <w:r w:rsidR="00404C39">
        <w:rPr>
          <w:rFonts w:ascii="Arial" w:hAnsi="Arial" w:cs="Arial"/>
          <w:sz w:val="28"/>
          <w:szCs w:val="28"/>
        </w:rPr>
        <w:t>con appropriatezza la terapia, e</w:t>
      </w:r>
      <w:r>
        <w:rPr>
          <w:rFonts w:ascii="Arial" w:hAnsi="Arial" w:cs="Arial"/>
          <w:sz w:val="28"/>
          <w:szCs w:val="28"/>
        </w:rPr>
        <w:t xml:space="preserve"> può essere un </w:t>
      </w:r>
      <w:r w:rsidR="00C27571">
        <w:rPr>
          <w:rFonts w:ascii="Arial" w:hAnsi="Arial" w:cs="Arial"/>
          <w:sz w:val="28"/>
          <w:szCs w:val="28"/>
        </w:rPr>
        <w:t xml:space="preserve">riferimento per un efficiente </w:t>
      </w:r>
      <w:r w:rsidR="00E72BEF" w:rsidRPr="00C27571">
        <w:rPr>
          <w:rFonts w:ascii="Arial" w:hAnsi="Arial" w:cs="Arial"/>
          <w:sz w:val="28"/>
          <w:szCs w:val="28"/>
        </w:rPr>
        <w:t xml:space="preserve"> ‘‘</w:t>
      </w:r>
      <w:proofErr w:type="spellStart"/>
      <w:r w:rsidR="00E72BEF" w:rsidRPr="004667C4">
        <w:rPr>
          <w:rFonts w:ascii="Arial" w:hAnsi="Arial" w:cs="Arial"/>
          <w:i/>
          <w:iCs/>
          <w:sz w:val="28"/>
          <w:szCs w:val="28"/>
        </w:rPr>
        <w:t>inter</w:t>
      </w:r>
      <w:r w:rsidR="00404C39" w:rsidRPr="004667C4">
        <w:rPr>
          <w:rFonts w:ascii="Arial" w:hAnsi="Arial" w:cs="Arial"/>
          <w:i/>
          <w:iCs/>
          <w:sz w:val="28"/>
          <w:szCs w:val="28"/>
        </w:rPr>
        <w:t>active</w:t>
      </w:r>
      <w:proofErr w:type="spellEnd"/>
      <w:r w:rsidR="00404C39" w:rsidRPr="004667C4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404C39" w:rsidRPr="004667C4">
        <w:rPr>
          <w:rFonts w:ascii="Arial" w:hAnsi="Arial" w:cs="Arial"/>
          <w:i/>
          <w:iCs/>
          <w:sz w:val="28"/>
          <w:szCs w:val="28"/>
        </w:rPr>
        <w:t>health</w:t>
      </w:r>
      <w:proofErr w:type="spellEnd"/>
      <w:r w:rsidR="00404C39" w:rsidRPr="004667C4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404C39" w:rsidRPr="004667C4">
        <w:rPr>
          <w:rFonts w:ascii="Arial" w:hAnsi="Arial" w:cs="Arial"/>
          <w:i/>
          <w:iCs/>
          <w:sz w:val="28"/>
          <w:szCs w:val="28"/>
        </w:rPr>
        <w:t>analysis</w:t>
      </w:r>
      <w:proofErr w:type="spellEnd"/>
      <w:r w:rsidR="00404C39" w:rsidRPr="004667C4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404C39" w:rsidRPr="004667C4">
        <w:rPr>
          <w:rFonts w:ascii="Arial" w:hAnsi="Arial" w:cs="Arial"/>
          <w:i/>
          <w:iCs/>
          <w:sz w:val="28"/>
          <w:szCs w:val="28"/>
        </w:rPr>
        <w:t>system</w:t>
      </w:r>
      <w:proofErr w:type="spellEnd"/>
      <w:r w:rsidR="00404C39" w:rsidRPr="004667C4">
        <w:rPr>
          <w:rFonts w:ascii="Arial" w:hAnsi="Arial" w:cs="Arial"/>
          <w:i/>
          <w:iCs/>
          <w:sz w:val="28"/>
          <w:szCs w:val="28"/>
        </w:rPr>
        <w:t>’’</w:t>
      </w:r>
      <w:r w:rsidR="00404C39">
        <w:rPr>
          <w:rFonts w:ascii="Arial" w:hAnsi="Arial" w:cs="Arial"/>
          <w:sz w:val="28"/>
          <w:szCs w:val="28"/>
        </w:rPr>
        <w:t xml:space="preserve"> che consiglia la corretta collocazione del paziente nei setting cur</w:t>
      </w:r>
      <w:r w:rsidR="006D2C0C">
        <w:rPr>
          <w:rFonts w:ascii="Arial" w:hAnsi="Arial" w:cs="Arial"/>
          <w:sz w:val="28"/>
          <w:szCs w:val="28"/>
        </w:rPr>
        <w:t>ativo-assistenziali disponibili</w:t>
      </w:r>
      <w:r w:rsidR="00A525E2">
        <w:rPr>
          <w:rFonts w:ascii="Arial" w:hAnsi="Arial" w:cs="Arial"/>
          <w:sz w:val="28"/>
          <w:szCs w:val="28"/>
        </w:rPr>
        <w:t xml:space="preserve">; questo potenziale strumento sarà potenziato dalla disponibilità di tecnologie come l’ intelligenza artificiale e una rete di comunicazione </w:t>
      </w:r>
      <w:r w:rsidR="006D2C0C">
        <w:rPr>
          <w:rFonts w:ascii="Arial" w:hAnsi="Arial" w:cs="Arial"/>
          <w:sz w:val="28"/>
          <w:szCs w:val="28"/>
        </w:rPr>
        <w:t xml:space="preserve">veloce ed </w:t>
      </w:r>
      <w:r w:rsidR="00A525E2">
        <w:rPr>
          <w:rFonts w:ascii="Arial" w:hAnsi="Arial" w:cs="Arial"/>
          <w:sz w:val="28"/>
          <w:szCs w:val="28"/>
        </w:rPr>
        <w:t>efficiente.</w:t>
      </w:r>
      <w:r w:rsidR="006D2C0C" w:rsidRPr="006D2C0C">
        <w:rPr>
          <w:rFonts w:ascii="Arial" w:eastAsia="SourceSansPro-Regular" w:hAnsi="Arial" w:cs="Arial"/>
          <w:sz w:val="28"/>
          <w:szCs w:val="28"/>
        </w:rPr>
        <w:t xml:space="preserve"> </w:t>
      </w:r>
    </w:p>
    <w:p w14:paraId="4CBF1DDC" w14:textId="77777777" w:rsidR="00A977B1" w:rsidRDefault="00DA4165" w:rsidP="00A977B1">
      <w:pPr>
        <w:spacing w:after="0" w:line="270" w:lineRule="atLeast"/>
        <w:jc w:val="both"/>
        <w:rPr>
          <w:rFonts w:ascii="Arial" w:hAnsi="Arial" w:cs="Arial"/>
          <w:sz w:val="28"/>
          <w:szCs w:val="28"/>
        </w:rPr>
      </w:pPr>
      <w:r w:rsidRPr="008D4390">
        <w:rPr>
          <w:rFonts w:ascii="Arial" w:hAnsi="Arial" w:cs="Arial"/>
          <w:sz w:val="28"/>
          <w:szCs w:val="28"/>
        </w:rPr>
        <w:t xml:space="preserve">The </w:t>
      </w:r>
      <w:r w:rsidRPr="008D4390">
        <w:rPr>
          <w:rFonts w:ascii="Arial" w:hAnsi="Arial" w:cs="Arial"/>
          <w:i/>
          <w:iCs/>
          <w:sz w:val="28"/>
          <w:szCs w:val="28"/>
        </w:rPr>
        <w:t xml:space="preserve">Cambridge </w:t>
      </w:r>
      <w:proofErr w:type="spellStart"/>
      <w:r w:rsidRPr="008D4390">
        <w:rPr>
          <w:rFonts w:ascii="Arial" w:hAnsi="Arial" w:cs="Arial"/>
          <w:i/>
          <w:iCs/>
          <w:sz w:val="28"/>
          <w:szCs w:val="28"/>
        </w:rPr>
        <w:t>Multimorbidity</w:t>
      </w:r>
      <w:proofErr w:type="spellEnd"/>
      <w:r w:rsidRPr="008D4390">
        <w:rPr>
          <w:rFonts w:ascii="Arial" w:hAnsi="Arial" w:cs="Arial"/>
          <w:i/>
          <w:iCs/>
          <w:sz w:val="28"/>
          <w:szCs w:val="28"/>
        </w:rPr>
        <w:t xml:space="preserve"> Score</w:t>
      </w:r>
      <w:r w:rsidR="00A977B1">
        <w:rPr>
          <w:rFonts w:ascii="Arial" w:hAnsi="Arial" w:cs="Arial"/>
          <w:sz w:val="28"/>
          <w:szCs w:val="28"/>
        </w:rPr>
        <w:t>-</w:t>
      </w:r>
      <w:hyperlink r:id="rId10" w:history="1">
        <w:r w:rsidR="00B13DBE" w:rsidRPr="00B13DBE">
          <w:rPr>
            <w:color w:val="0000FF"/>
            <w:u w:val="single"/>
          </w:rPr>
          <w:t>https://www.repository.cam.ac.uk/handle/1810/299632</w:t>
        </w:r>
      </w:hyperlink>
      <w:r w:rsidR="0062647B">
        <w:t xml:space="preserve"> </w:t>
      </w:r>
      <w:r w:rsidR="00A977B1">
        <w:t>-</w:t>
      </w:r>
      <w:r w:rsidR="0062647B">
        <w:t xml:space="preserve"> </w:t>
      </w:r>
      <w:r w:rsidRPr="008D4390">
        <w:rPr>
          <w:rFonts w:ascii="Arial" w:hAnsi="Arial" w:cs="Arial"/>
          <w:sz w:val="28"/>
          <w:szCs w:val="28"/>
        </w:rPr>
        <w:t xml:space="preserve">misura la condizioni </w:t>
      </w:r>
      <w:r w:rsidR="006D2C0C">
        <w:rPr>
          <w:rFonts w:ascii="Arial" w:hAnsi="Arial" w:cs="Arial"/>
          <w:sz w:val="28"/>
          <w:szCs w:val="28"/>
        </w:rPr>
        <w:t>mediche multiple</w:t>
      </w:r>
      <w:r w:rsidRPr="008D4390">
        <w:rPr>
          <w:rFonts w:ascii="Arial" w:hAnsi="Arial" w:cs="Arial"/>
          <w:sz w:val="28"/>
          <w:szCs w:val="28"/>
        </w:rPr>
        <w:t xml:space="preserve">   presenti nello stesso paziente</w:t>
      </w:r>
      <w:r w:rsidR="008D4390">
        <w:rPr>
          <w:rFonts w:ascii="Arial" w:hAnsi="Arial" w:cs="Arial"/>
          <w:sz w:val="28"/>
          <w:szCs w:val="28"/>
        </w:rPr>
        <w:t>:</w:t>
      </w:r>
      <w:r w:rsidRPr="008D4390">
        <w:rPr>
          <w:rFonts w:ascii="Arial" w:hAnsi="Arial" w:cs="Arial"/>
          <w:sz w:val="28"/>
          <w:szCs w:val="28"/>
        </w:rPr>
        <w:t xml:space="preserve"> </w:t>
      </w:r>
      <w:r w:rsidR="00A977B1">
        <w:rPr>
          <w:rFonts w:ascii="Arial" w:hAnsi="Arial" w:cs="Arial"/>
          <w:sz w:val="28"/>
          <w:szCs w:val="28"/>
        </w:rPr>
        <w:t xml:space="preserve">la sua utilizzazione è nell’ ambito della </w:t>
      </w:r>
      <w:proofErr w:type="spellStart"/>
      <w:r w:rsidR="00A977B1">
        <w:rPr>
          <w:rFonts w:ascii="Arial" w:hAnsi="Arial" w:cs="Arial"/>
          <w:sz w:val="28"/>
          <w:szCs w:val="28"/>
        </w:rPr>
        <w:t>primary</w:t>
      </w:r>
      <w:proofErr w:type="spellEnd"/>
      <w:r w:rsidR="00A977B1">
        <w:rPr>
          <w:rFonts w:ascii="Arial" w:hAnsi="Arial" w:cs="Arial"/>
          <w:sz w:val="28"/>
          <w:szCs w:val="28"/>
        </w:rPr>
        <w:t xml:space="preserve"> care ; è</w:t>
      </w:r>
      <w:r w:rsidRPr="008D4390">
        <w:rPr>
          <w:rFonts w:ascii="Arial" w:hAnsi="Arial" w:cs="Arial"/>
          <w:sz w:val="28"/>
          <w:szCs w:val="28"/>
        </w:rPr>
        <w:t xml:space="preserve"> propost</w:t>
      </w:r>
      <w:r w:rsidR="008D4390">
        <w:rPr>
          <w:rFonts w:ascii="Arial" w:hAnsi="Arial" w:cs="Arial"/>
          <w:sz w:val="28"/>
          <w:szCs w:val="28"/>
        </w:rPr>
        <w:t>o</w:t>
      </w:r>
      <w:r w:rsidRPr="008D4390">
        <w:rPr>
          <w:rFonts w:ascii="Arial" w:hAnsi="Arial" w:cs="Arial"/>
          <w:sz w:val="28"/>
          <w:szCs w:val="28"/>
        </w:rPr>
        <w:t xml:space="preserve"> come alternativa al </w:t>
      </w:r>
      <w:proofErr w:type="spellStart"/>
      <w:r w:rsidRPr="00223107">
        <w:rPr>
          <w:rFonts w:ascii="Arial" w:hAnsi="Arial" w:cs="Arial"/>
          <w:i/>
          <w:sz w:val="28"/>
          <w:szCs w:val="28"/>
        </w:rPr>
        <w:t>Charlson</w:t>
      </w:r>
      <w:proofErr w:type="spellEnd"/>
      <w:r w:rsidRPr="00223107">
        <w:rPr>
          <w:rFonts w:ascii="Arial" w:hAnsi="Arial" w:cs="Arial"/>
          <w:i/>
          <w:sz w:val="28"/>
          <w:szCs w:val="28"/>
        </w:rPr>
        <w:t xml:space="preserve"> Index</w:t>
      </w:r>
      <w:r w:rsidRPr="008D4390">
        <w:rPr>
          <w:rFonts w:ascii="Arial" w:hAnsi="Arial" w:cs="Arial"/>
          <w:sz w:val="28"/>
          <w:szCs w:val="28"/>
        </w:rPr>
        <w:t xml:space="preserve"> - </w:t>
      </w:r>
      <w:hyperlink r:id="rId11" w:history="1">
        <w:r w:rsidRPr="008D4390">
          <w:rPr>
            <w:rStyle w:val="Collegamentoipertestuale"/>
            <w:rFonts w:ascii="Arial" w:hAnsi="Arial" w:cs="Arial"/>
            <w:sz w:val="28"/>
            <w:szCs w:val="28"/>
          </w:rPr>
          <w:t>https://www.mdcalc.com/charlson-comorbidity-index-cci</w:t>
        </w:r>
      </w:hyperlink>
      <w:r w:rsidRPr="008D4390">
        <w:rPr>
          <w:rFonts w:ascii="Arial" w:hAnsi="Arial" w:cs="Arial"/>
          <w:sz w:val="28"/>
          <w:szCs w:val="28"/>
        </w:rPr>
        <w:t xml:space="preserve"> . Il suo obiet</w:t>
      </w:r>
      <w:r w:rsidR="00A977B1">
        <w:rPr>
          <w:rFonts w:ascii="Arial" w:hAnsi="Arial" w:cs="Arial"/>
          <w:sz w:val="28"/>
          <w:szCs w:val="28"/>
        </w:rPr>
        <w:t xml:space="preserve">tivo non è solo descrittivo: </w:t>
      </w:r>
      <w:r w:rsidRPr="008D4390">
        <w:rPr>
          <w:rFonts w:ascii="Arial" w:hAnsi="Arial" w:cs="Arial"/>
          <w:sz w:val="28"/>
          <w:szCs w:val="28"/>
        </w:rPr>
        <w:t xml:space="preserve">promuove l’accesso </w:t>
      </w:r>
      <w:r w:rsidR="008D4390">
        <w:rPr>
          <w:rFonts w:ascii="Arial" w:hAnsi="Arial" w:cs="Arial"/>
          <w:sz w:val="28"/>
          <w:szCs w:val="28"/>
        </w:rPr>
        <w:t xml:space="preserve">appropriato </w:t>
      </w:r>
      <w:r w:rsidRPr="008D4390">
        <w:rPr>
          <w:rFonts w:ascii="Arial" w:hAnsi="Arial" w:cs="Arial"/>
          <w:sz w:val="28"/>
          <w:szCs w:val="28"/>
        </w:rPr>
        <w:t xml:space="preserve">ai servizi </w:t>
      </w:r>
      <w:proofErr w:type="gramStart"/>
      <w:r w:rsidRPr="008D4390">
        <w:rPr>
          <w:rFonts w:ascii="Arial" w:hAnsi="Arial" w:cs="Arial"/>
          <w:sz w:val="28"/>
          <w:szCs w:val="28"/>
        </w:rPr>
        <w:t>sanitari  e</w:t>
      </w:r>
      <w:proofErr w:type="gramEnd"/>
      <w:r w:rsidRPr="008D4390">
        <w:rPr>
          <w:rFonts w:ascii="Arial" w:hAnsi="Arial" w:cs="Arial"/>
          <w:sz w:val="28"/>
          <w:szCs w:val="28"/>
        </w:rPr>
        <w:t xml:space="preserve"> alle cure  più competenti. Fornisce un punteggio che misura la </w:t>
      </w:r>
      <w:proofErr w:type="spellStart"/>
      <w:r w:rsidRPr="008D4390">
        <w:rPr>
          <w:rFonts w:ascii="Arial" w:hAnsi="Arial" w:cs="Arial"/>
          <w:sz w:val="28"/>
          <w:szCs w:val="28"/>
        </w:rPr>
        <w:t>multimorbidità</w:t>
      </w:r>
      <w:proofErr w:type="spellEnd"/>
      <w:r w:rsidRPr="008D4390">
        <w:rPr>
          <w:rFonts w:ascii="Arial" w:hAnsi="Arial" w:cs="Arial"/>
          <w:sz w:val="28"/>
          <w:szCs w:val="28"/>
        </w:rPr>
        <w:t xml:space="preserve"> utile per la corretta allocazione delle risorse limitate</w:t>
      </w:r>
      <w:r w:rsidR="007742EC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7742EC">
        <w:rPr>
          <w:rFonts w:ascii="Arial" w:hAnsi="Arial" w:cs="Arial"/>
          <w:sz w:val="28"/>
          <w:szCs w:val="28"/>
        </w:rPr>
        <w:t xml:space="preserve">Si </w:t>
      </w:r>
      <w:r>
        <w:t xml:space="preserve"> </w:t>
      </w:r>
      <w:r w:rsidR="007742EC">
        <w:rPr>
          <w:rFonts w:ascii="Arial" w:hAnsi="Arial" w:cs="Arial"/>
          <w:sz w:val="28"/>
          <w:szCs w:val="28"/>
        </w:rPr>
        <w:t>considerano</w:t>
      </w:r>
      <w:proofErr w:type="gramEnd"/>
      <w:r w:rsidR="007742EC">
        <w:rPr>
          <w:rFonts w:ascii="Arial" w:hAnsi="Arial" w:cs="Arial"/>
          <w:sz w:val="28"/>
          <w:szCs w:val="28"/>
        </w:rPr>
        <w:t xml:space="preserve"> </w:t>
      </w:r>
      <w:r w:rsidRPr="007742EC">
        <w:rPr>
          <w:rFonts w:ascii="Arial" w:hAnsi="Arial" w:cs="Arial"/>
          <w:sz w:val="28"/>
          <w:szCs w:val="28"/>
        </w:rPr>
        <w:t xml:space="preserve">37 </w:t>
      </w:r>
      <w:proofErr w:type="spellStart"/>
      <w:r w:rsidRPr="007742EC">
        <w:rPr>
          <w:rFonts w:ascii="Arial" w:hAnsi="Arial" w:cs="Arial"/>
          <w:sz w:val="28"/>
          <w:szCs w:val="28"/>
        </w:rPr>
        <w:t>comorbidità</w:t>
      </w:r>
      <w:proofErr w:type="spellEnd"/>
      <w:r w:rsidRPr="007742EC">
        <w:rPr>
          <w:rFonts w:ascii="Arial" w:hAnsi="Arial" w:cs="Arial"/>
          <w:sz w:val="28"/>
          <w:szCs w:val="28"/>
        </w:rPr>
        <w:t xml:space="preserve">  e altrettanti </w:t>
      </w:r>
      <w:proofErr w:type="spellStart"/>
      <w:r w:rsidRPr="007742EC">
        <w:rPr>
          <w:rFonts w:ascii="Arial" w:hAnsi="Arial" w:cs="Arial"/>
          <w:sz w:val="28"/>
          <w:szCs w:val="28"/>
        </w:rPr>
        <w:t>outcomes</w:t>
      </w:r>
      <w:proofErr w:type="spellEnd"/>
      <w:r w:rsidRPr="007742EC">
        <w:rPr>
          <w:rFonts w:ascii="Arial" w:hAnsi="Arial" w:cs="Arial"/>
          <w:sz w:val="28"/>
          <w:szCs w:val="28"/>
        </w:rPr>
        <w:t xml:space="preserve"> </w:t>
      </w:r>
      <w:r w:rsidR="00A977B1">
        <w:rPr>
          <w:rFonts w:ascii="Arial" w:hAnsi="Arial" w:cs="Arial"/>
          <w:sz w:val="28"/>
          <w:szCs w:val="28"/>
        </w:rPr>
        <w:t xml:space="preserve">che dovrebbero essere considerate durante la </w:t>
      </w:r>
      <w:r w:rsidRPr="007742EC">
        <w:rPr>
          <w:rFonts w:ascii="Arial" w:hAnsi="Arial" w:cs="Arial"/>
          <w:sz w:val="28"/>
          <w:szCs w:val="28"/>
        </w:rPr>
        <w:t xml:space="preserve">visita del </w:t>
      </w:r>
    </w:p>
    <w:p w14:paraId="462352D0" w14:textId="77777777" w:rsidR="00A977B1" w:rsidRDefault="00A977B1" w:rsidP="00A977B1">
      <w:pPr>
        <w:spacing w:after="0" w:line="270" w:lineRule="atLeast"/>
        <w:jc w:val="both"/>
        <w:rPr>
          <w:rFonts w:ascii="Arial" w:hAnsi="Arial" w:cs="Arial"/>
          <w:sz w:val="28"/>
          <w:szCs w:val="28"/>
        </w:rPr>
      </w:pPr>
    </w:p>
    <w:p w14:paraId="55B8D89D" w14:textId="77777777" w:rsidR="00A977B1" w:rsidRDefault="00A977B1" w:rsidP="00A977B1">
      <w:pPr>
        <w:spacing w:after="0" w:line="270" w:lineRule="atLeast"/>
        <w:jc w:val="both"/>
        <w:rPr>
          <w:rFonts w:ascii="Arial" w:hAnsi="Arial" w:cs="Arial"/>
          <w:sz w:val="28"/>
          <w:szCs w:val="28"/>
        </w:rPr>
      </w:pPr>
    </w:p>
    <w:p w14:paraId="4F8BC984" w14:textId="77777777" w:rsidR="00A977B1" w:rsidRDefault="00A977B1" w:rsidP="00A977B1">
      <w:pPr>
        <w:spacing w:after="0" w:line="270" w:lineRule="atLeast"/>
        <w:jc w:val="both"/>
        <w:rPr>
          <w:rFonts w:ascii="Arial" w:hAnsi="Arial" w:cs="Arial"/>
          <w:sz w:val="28"/>
          <w:szCs w:val="28"/>
        </w:rPr>
      </w:pPr>
    </w:p>
    <w:p w14:paraId="5F261170" w14:textId="52647E12" w:rsidR="00DA4165" w:rsidRDefault="00DA4165" w:rsidP="00A977B1">
      <w:pPr>
        <w:spacing w:after="0" w:line="270" w:lineRule="atLeast"/>
        <w:jc w:val="both"/>
        <w:rPr>
          <w:rFonts w:ascii="Arial" w:hAnsi="Arial" w:cs="Arial"/>
          <w:sz w:val="28"/>
          <w:szCs w:val="28"/>
        </w:rPr>
      </w:pPr>
      <w:r w:rsidRPr="007742EC">
        <w:rPr>
          <w:rFonts w:ascii="Arial" w:hAnsi="Arial" w:cs="Arial"/>
          <w:sz w:val="28"/>
          <w:szCs w:val="28"/>
        </w:rPr>
        <w:t xml:space="preserve">medico di famiglia, </w:t>
      </w:r>
      <w:r w:rsidR="00A977B1">
        <w:rPr>
          <w:rFonts w:ascii="Arial" w:hAnsi="Arial" w:cs="Arial"/>
          <w:sz w:val="28"/>
          <w:szCs w:val="28"/>
        </w:rPr>
        <w:t>ma anche in occasione de</w:t>
      </w:r>
      <w:r w:rsidR="007742EC">
        <w:rPr>
          <w:rFonts w:ascii="Arial" w:hAnsi="Arial" w:cs="Arial"/>
          <w:sz w:val="28"/>
          <w:szCs w:val="28"/>
        </w:rPr>
        <w:t>l</w:t>
      </w:r>
      <w:r w:rsidR="00A977B1">
        <w:rPr>
          <w:rFonts w:ascii="Arial" w:hAnsi="Arial" w:cs="Arial"/>
          <w:sz w:val="28"/>
          <w:szCs w:val="28"/>
        </w:rPr>
        <w:t xml:space="preserve"> ricovero ospedaliero e soprattutto nelle strutture per </w:t>
      </w:r>
      <w:proofErr w:type="gramStart"/>
      <w:r w:rsidR="00A977B1">
        <w:rPr>
          <w:rFonts w:ascii="Arial" w:hAnsi="Arial" w:cs="Arial"/>
          <w:sz w:val="28"/>
          <w:szCs w:val="28"/>
        </w:rPr>
        <w:t>anziani;  è</w:t>
      </w:r>
      <w:proofErr w:type="gramEnd"/>
      <w:r w:rsidR="00A977B1">
        <w:rPr>
          <w:rFonts w:ascii="Arial" w:hAnsi="Arial" w:cs="Arial"/>
          <w:sz w:val="28"/>
          <w:szCs w:val="28"/>
        </w:rPr>
        <w:t xml:space="preserve"> utile </w:t>
      </w:r>
      <w:r w:rsidRPr="007742EC">
        <w:rPr>
          <w:rFonts w:ascii="Arial" w:hAnsi="Arial" w:cs="Arial"/>
          <w:sz w:val="28"/>
          <w:szCs w:val="28"/>
        </w:rPr>
        <w:t xml:space="preserve">per la corretta attività medica e </w:t>
      </w:r>
      <w:r w:rsidR="00A977B1">
        <w:rPr>
          <w:rFonts w:ascii="Arial" w:hAnsi="Arial" w:cs="Arial"/>
          <w:sz w:val="28"/>
          <w:szCs w:val="28"/>
        </w:rPr>
        <w:t xml:space="preserve">sanitaria </w:t>
      </w:r>
      <w:r w:rsidRPr="007742EC">
        <w:rPr>
          <w:rFonts w:ascii="Arial" w:hAnsi="Arial" w:cs="Arial"/>
          <w:sz w:val="28"/>
          <w:szCs w:val="28"/>
        </w:rPr>
        <w:t xml:space="preserve">nella casistica della popolazione anziana che spesso presenta </w:t>
      </w:r>
      <w:proofErr w:type="spellStart"/>
      <w:r w:rsidRPr="007742EC">
        <w:rPr>
          <w:rFonts w:ascii="Arial" w:hAnsi="Arial" w:cs="Arial"/>
          <w:sz w:val="28"/>
          <w:szCs w:val="28"/>
        </w:rPr>
        <w:t>multimorbilità</w:t>
      </w:r>
      <w:proofErr w:type="spellEnd"/>
      <w:r w:rsidRPr="007742EC">
        <w:rPr>
          <w:rFonts w:ascii="Arial" w:hAnsi="Arial" w:cs="Arial"/>
          <w:sz w:val="28"/>
          <w:szCs w:val="28"/>
        </w:rPr>
        <w:t xml:space="preserve">. </w:t>
      </w:r>
      <w:r w:rsidR="0062647B">
        <w:rPr>
          <w:rFonts w:ascii="Arial" w:hAnsi="Arial" w:cs="Arial"/>
          <w:sz w:val="28"/>
          <w:szCs w:val="28"/>
        </w:rPr>
        <w:t xml:space="preserve"> </w:t>
      </w:r>
      <w:r w:rsidRPr="007742EC">
        <w:rPr>
          <w:rFonts w:ascii="Arial" w:hAnsi="Arial" w:cs="Arial"/>
          <w:sz w:val="28"/>
          <w:szCs w:val="28"/>
          <w:lang w:val="en-US"/>
        </w:rPr>
        <w:t xml:space="preserve">Utile </w:t>
      </w:r>
      <w:proofErr w:type="spellStart"/>
      <w:r w:rsidRPr="007742EC">
        <w:rPr>
          <w:rFonts w:ascii="Arial" w:hAnsi="Arial" w:cs="Arial"/>
          <w:sz w:val="28"/>
          <w:szCs w:val="28"/>
          <w:lang w:val="en-US"/>
        </w:rPr>
        <w:t>consultare</w:t>
      </w:r>
      <w:proofErr w:type="spellEnd"/>
      <w:r w:rsidRPr="007742E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742EC">
        <w:rPr>
          <w:rFonts w:ascii="Arial" w:hAnsi="Arial" w:cs="Arial"/>
          <w:sz w:val="28"/>
          <w:szCs w:val="28"/>
          <w:lang w:val="en-US"/>
        </w:rPr>
        <w:t>il</w:t>
      </w:r>
      <w:proofErr w:type="spellEnd"/>
      <w:r w:rsidRPr="007742EC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12" w:history="1">
        <w:r w:rsidRPr="007742EC">
          <w:rPr>
            <w:rStyle w:val="Collegamentoipertestuale"/>
            <w:rFonts w:ascii="Arial" w:hAnsi="Arial" w:cs="Arial"/>
            <w:sz w:val="28"/>
            <w:szCs w:val="28"/>
            <w:lang w:val="en-US"/>
          </w:rPr>
          <w:t>National Institute for Health Research School for Primary Care Research</w:t>
        </w:r>
      </w:hyperlink>
      <w:r w:rsidRPr="007742EC">
        <w:rPr>
          <w:rFonts w:ascii="Arial" w:hAnsi="Arial" w:cs="Arial"/>
          <w:sz w:val="28"/>
          <w:szCs w:val="28"/>
          <w:lang w:val="en-US"/>
        </w:rPr>
        <w:t xml:space="preserve">  : </w:t>
      </w:r>
      <w:hyperlink r:id="rId13" w:history="1">
        <w:r w:rsidRPr="007742EC">
          <w:rPr>
            <w:rStyle w:val="Collegamentoipertestuale"/>
            <w:rFonts w:ascii="Arial" w:hAnsi="Arial" w:cs="Arial"/>
            <w:sz w:val="28"/>
            <w:szCs w:val="28"/>
            <w:lang w:val="en-US"/>
          </w:rPr>
          <w:t>https://www.spcr.nihr.ac.uk/</w:t>
        </w:r>
      </w:hyperlink>
      <w:r w:rsidRPr="007742EC">
        <w:rPr>
          <w:rFonts w:ascii="Arial" w:hAnsi="Arial" w:cs="Arial"/>
          <w:sz w:val="28"/>
          <w:szCs w:val="28"/>
          <w:lang w:val="en-US"/>
        </w:rPr>
        <w:t xml:space="preserve">  e la </w:t>
      </w:r>
      <w:proofErr w:type="spellStart"/>
      <w:r w:rsidRPr="007742EC">
        <w:rPr>
          <w:rFonts w:ascii="Arial" w:hAnsi="Arial" w:cs="Arial"/>
          <w:sz w:val="28"/>
          <w:szCs w:val="28"/>
          <w:lang w:val="en-US"/>
        </w:rPr>
        <w:t>pubblicazione</w:t>
      </w:r>
      <w:proofErr w:type="spellEnd"/>
      <w:r w:rsidRPr="007742EC">
        <w:rPr>
          <w:rFonts w:ascii="Arial" w:hAnsi="Arial" w:cs="Arial"/>
          <w:sz w:val="28"/>
          <w:szCs w:val="28"/>
          <w:lang w:val="en-US"/>
        </w:rPr>
        <w:t xml:space="preserve">   </w:t>
      </w:r>
      <w:hyperlink r:id="rId14" w:history="1">
        <w:r w:rsidRPr="007742EC">
          <w:rPr>
            <w:rStyle w:val="Collegamentoipertestuale"/>
            <w:rFonts w:ascii="Arial" w:hAnsi="Arial" w:cs="Arial"/>
            <w:sz w:val="28"/>
            <w:szCs w:val="28"/>
            <w:lang w:val="en-US"/>
          </w:rPr>
          <w:t>Development and validation of the Cambridge Multimorbidity Score</w:t>
        </w:r>
      </w:hyperlink>
      <w:r w:rsidR="0062647B">
        <w:rPr>
          <w:rFonts w:ascii="Arial" w:hAnsi="Arial" w:cs="Arial"/>
          <w:sz w:val="28"/>
          <w:szCs w:val="28"/>
          <w:lang w:val="en-US"/>
        </w:rPr>
        <w:t> </w:t>
      </w:r>
      <w:r w:rsidR="006D2C0C">
        <w:rPr>
          <w:rFonts w:ascii="Arial" w:hAnsi="Arial" w:cs="Arial"/>
          <w:sz w:val="28"/>
          <w:szCs w:val="28"/>
          <w:lang w:val="en-US"/>
        </w:rPr>
        <w:t xml:space="preserve"> </w:t>
      </w:r>
      <w:r w:rsidRPr="007742EC">
        <w:rPr>
          <w:rFonts w:ascii="Arial" w:hAnsi="Arial" w:cs="Arial"/>
          <w:sz w:val="28"/>
          <w:szCs w:val="28"/>
        </w:rPr>
        <w:t xml:space="preserve">in CMAJ. 3 </w:t>
      </w:r>
      <w:proofErr w:type="spellStart"/>
      <w:r w:rsidRPr="007742EC">
        <w:rPr>
          <w:rFonts w:ascii="Arial" w:hAnsi="Arial" w:cs="Arial"/>
          <w:sz w:val="28"/>
          <w:szCs w:val="28"/>
        </w:rPr>
        <w:t>February</w:t>
      </w:r>
      <w:proofErr w:type="spellEnd"/>
      <w:r w:rsidRPr="007742EC">
        <w:rPr>
          <w:rFonts w:ascii="Arial" w:hAnsi="Arial" w:cs="Arial"/>
          <w:sz w:val="28"/>
          <w:szCs w:val="28"/>
        </w:rPr>
        <w:t xml:space="preserve"> 2020 (leggibile online)</w:t>
      </w:r>
      <w:r w:rsidR="00575E59">
        <w:rPr>
          <w:rFonts w:ascii="Arial" w:hAnsi="Arial" w:cs="Arial"/>
          <w:sz w:val="28"/>
          <w:szCs w:val="28"/>
        </w:rPr>
        <w:t xml:space="preserve">. </w:t>
      </w:r>
      <w:r w:rsidRPr="007742EC">
        <w:rPr>
          <w:rFonts w:ascii="Arial" w:hAnsi="Arial" w:cs="Arial"/>
          <w:sz w:val="28"/>
          <w:szCs w:val="28"/>
        </w:rPr>
        <w:t>Le condizion</w:t>
      </w:r>
      <w:r w:rsidR="003828EC">
        <w:rPr>
          <w:rFonts w:ascii="Arial" w:hAnsi="Arial" w:cs="Arial"/>
          <w:sz w:val="28"/>
          <w:szCs w:val="28"/>
        </w:rPr>
        <w:t xml:space="preserve">i e i codici sono leggibili </w:t>
      </w:r>
      <w:r w:rsidR="0062647B">
        <w:rPr>
          <w:rFonts w:ascii="Arial" w:hAnsi="Arial" w:cs="Arial"/>
          <w:sz w:val="28"/>
          <w:szCs w:val="28"/>
        </w:rPr>
        <w:t xml:space="preserve">anche </w:t>
      </w:r>
      <w:r w:rsidR="003828EC">
        <w:rPr>
          <w:rFonts w:ascii="Arial" w:hAnsi="Arial" w:cs="Arial"/>
          <w:sz w:val="28"/>
          <w:szCs w:val="28"/>
        </w:rPr>
        <w:t xml:space="preserve">al link: </w:t>
      </w:r>
      <w:hyperlink r:id="rId15" w:history="1">
        <w:r w:rsidRPr="007742EC">
          <w:rPr>
            <w:rStyle w:val="Collegamentoipertestuale"/>
            <w:rFonts w:ascii="Arial" w:hAnsi="Arial" w:cs="Arial"/>
            <w:sz w:val="28"/>
            <w:szCs w:val="28"/>
          </w:rPr>
          <w:t>https://www.phpc.cam.ac.uk/pcu/cprd_cam/codelists/v11/</w:t>
        </w:r>
      </w:hyperlink>
      <w:r w:rsidRPr="007742EC">
        <w:rPr>
          <w:rFonts w:ascii="Arial" w:hAnsi="Arial" w:cs="Arial"/>
          <w:sz w:val="28"/>
          <w:szCs w:val="28"/>
        </w:rPr>
        <w:t xml:space="preserve"> .</w:t>
      </w:r>
    </w:p>
    <w:p w14:paraId="53B3AF93" w14:textId="77777777" w:rsidR="00C45E1F" w:rsidRPr="006D2C0C" w:rsidRDefault="00C45E1F" w:rsidP="006D2C0C">
      <w:pPr>
        <w:spacing w:after="0" w:line="270" w:lineRule="atLeast"/>
        <w:rPr>
          <w:rFonts w:ascii="Arial" w:eastAsia="SourceSansPro-Regular" w:hAnsi="Arial" w:cs="Arial"/>
          <w:sz w:val="28"/>
          <w:szCs w:val="28"/>
        </w:rPr>
      </w:pPr>
    </w:p>
    <w:p w14:paraId="02E40539" w14:textId="02366A4A" w:rsidR="00B12084" w:rsidRDefault="003F6737" w:rsidP="00A977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ITCGaramondStd-Bk" w:hAnsi="Arial" w:cs="Arial"/>
          <w:sz w:val="24"/>
          <w:szCs w:val="24"/>
        </w:rPr>
      </w:pPr>
      <w:r w:rsidRPr="006805ED">
        <w:rPr>
          <w:rFonts w:ascii="Arial" w:hAnsi="Arial" w:cs="Arial"/>
          <w:sz w:val="28"/>
          <w:szCs w:val="28"/>
        </w:rPr>
        <w:t xml:space="preserve">E’ certo che nelle strutture </w:t>
      </w:r>
      <w:r w:rsidR="006D2C0C">
        <w:rPr>
          <w:rFonts w:ascii="Arial" w:hAnsi="Arial" w:cs="Arial"/>
          <w:sz w:val="28"/>
          <w:szCs w:val="28"/>
        </w:rPr>
        <w:t xml:space="preserve">anche italiane </w:t>
      </w:r>
      <w:r w:rsidR="0062647B">
        <w:rPr>
          <w:rFonts w:ascii="Arial" w:hAnsi="Arial" w:cs="Arial"/>
          <w:sz w:val="28"/>
          <w:szCs w:val="28"/>
        </w:rPr>
        <w:t>esistono problemi</w:t>
      </w:r>
      <w:r w:rsidRPr="006805ED">
        <w:rPr>
          <w:rFonts w:ascii="Arial" w:hAnsi="Arial" w:cs="Arial"/>
          <w:sz w:val="28"/>
          <w:szCs w:val="28"/>
        </w:rPr>
        <w:t xml:space="preserve"> di quantità e qualità degli operatori di vario </w:t>
      </w:r>
      <w:proofErr w:type="gramStart"/>
      <w:r w:rsidRPr="006805ED">
        <w:rPr>
          <w:rFonts w:ascii="Arial" w:hAnsi="Arial" w:cs="Arial"/>
          <w:sz w:val="28"/>
          <w:szCs w:val="28"/>
        </w:rPr>
        <w:t>live</w:t>
      </w:r>
      <w:r w:rsidR="00A525E2" w:rsidRPr="006805ED">
        <w:rPr>
          <w:rFonts w:ascii="Arial" w:hAnsi="Arial" w:cs="Arial"/>
          <w:sz w:val="28"/>
          <w:szCs w:val="28"/>
        </w:rPr>
        <w:t xml:space="preserve">llo; </w:t>
      </w:r>
      <w:r w:rsidRPr="006805ED">
        <w:rPr>
          <w:rFonts w:ascii="Arial" w:hAnsi="Arial" w:cs="Arial"/>
          <w:sz w:val="28"/>
          <w:szCs w:val="28"/>
        </w:rPr>
        <w:t xml:space="preserve"> la</w:t>
      </w:r>
      <w:proofErr w:type="gramEnd"/>
      <w:r w:rsidRPr="006805ED">
        <w:rPr>
          <w:rFonts w:ascii="Arial" w:hAnsi="Arial" w:cs="Arial"/>
          <w:sz w:val="28"/>
          <w:szCs w:val="28"/>
        </w:rPr>
        <w:t xml:space="preserve"> loro attività</w:t>
      </w:r>
      <w:r w:rsidR="00A525E2" w:rsidRPr="006805ED">
        <w:rPr>
          <w:rFonts w:ascii="Arial" w:hAnsi="Arial" w:cs="Arial"/>
          <w:sz w:val="28"/>
          <w:szCs w:val="28"/>
        </w:rPr>
        <w:t>,</w:t>
      </w:r>
      <w:r w:rsidRPr="006805ED">
        <w:rPr>
          <w:rFonts w:ascii="Arial" w:hAnsi="Arial" w:cs="Arial"/>
          <w:sz w:val="28"/>
          <w:szCs w:val="28"/>
        </w:rPr>
        <w:t xml:space="preserve"> basata </w:t>
      </w:r>
      <w:r w:rsidR="00A525E2" w:rsidRPr="006805ED">
        <w:rPr>
          <w:rFonts w:ascii="Arial" w:hAnsi="Arial" w:cs="Arial"/>
          <w:sz w:val="28"/>
          <w:szCs w:val="28"/>
        </w:rPr>
        <w:t xml:space="preserve">anche </w:t>
      </w:r>
      <w:r w:rsidRPr="006805ED">
        <w:rPr>
          <w:rFonts w:ascii="Arial" w:hAnsi="Arial" w:cs="Arial"/>
          <w:sz w:val="28"/>
          <w:szCs w:val="28"/>
        </w:rPr>
        <w:t>sulla ottimale relazione con l’ ospite</w:t>
      </w:r>
      <w:r w:rsidR="003828EC">
        <w:rPr>
          <w:rFonts w:ascii="Arial" w:hAnsi="Arial" w:cs="Arial"/>
          <w:sz w:val="28"/>
          <w:szCs w:val="28"/>
        </w:rPr>
        <w:t>, dovrebbe</w:t>
      </w:r>
      <w:r w:rsidR="00A525E2" w:rsidRPr="006805ED">
        <w:rPr>
          <w:rFonts w:ascii="Arial" w:hAnsi="Arial" w:cs="Arial"/>
          <w:sz w:val="28"/>
          <w:szCs w:val="28"/>
        </w:rPr>
        <w:t xml:space="preserve"> avvale</w:t>
      </w:r>
      <w:r w:rsidR="0062647B">
        <w:rPr>
          <w:rFonts w:ascii="Arial" w:hAnsi="Arial" w:cs="Arial"/>
          <w:sz w:val="28"/>
          <w:szCs w:val="28"/>
        </w:rPr>
        <w:t>rsi di</w:t>
      </w:r>
      <w:r w:rsidR="003828EC">
        <w:rPr>
          <w:rFonts w:ascii="Arial" w:hAnsi="Arial" w:cs="Arial"/>
          <w:sz w:val="28"/>
          <w:szCs w:val="28"/>
        </w:rPr>
        <w:t xml:space="preserve"> tecniche medico-geriatriche qualificate, ma non sempre è così.</w:t>
      </w:r>
      <w:r w:rsidR="00591CDD" w:rsidRPr="006805ED">
        <w:rPr>
          <w:rFonts w:ascii="Arial" w:hAnsi="Arial" w:cs="Arial"/>
          <w:sz w:val="28"/>
          <w:szCs w:val="28"/>
        </w:rPr>
        <w:t xml:space="preserve"> La presenza del Geriatria nello staff del</w:t>
      </w:r>
      <w:r w:rsidR="0062647B">
        <w:rPr>
          <w:rFonts w:ascii="Arial" w:hAnsi="Arial" w:cs="Arial"/>
          <w:sz w:val="28"/>
          <w:szCs w:val="28"/>
        </w:rPr>
        <w:t>la struttura migliora</w:t>
      </w:r>
      <w:r w:rsidR="00591CDD" w:rsidRPr="006805ED">
        <w:rPr>
          <w:rFonts w:ascii="Arial" w:hAnsi="Arial" w:cs="Arial"/>
          <w:sz w:val="28"/>
          <w:szCs w:val="28"/>
        </w:rPr>
        <w:t xml:space="preserve"> i risultati operativi della stessa come per esempio riducendo il numero di ospedalizzazioni degli ospiti</w:t>
      </w:r>
      <w:r w:rsidR="00257503" w:rsidRPr="006805ED">
        <w:rPr>
          <w:rFonts w:ascii="Arial" w:hAnsi="Arial" w:cs="Arial"/>
          <w:sz w:val="28"/>
          <w:szCs w:val="28"/>
        </w:rPr>
        <w:t xml:space="preserve"> </w:t>
      </w:r>
      <w:r w:rsidRPr="006805ED">
        <w:rPr>
          <w:rFonts w:ascii="Arial" w:hAnsi="Arial" w:cs="Arial"/>
          <w:sz w:val="28"/>
          <w:szCs w:val="28"/>
        </w:rPr>
        <w:t xml:space="preserve"> </w:t>
      </w:r>
      <w:hyperlink r:id="rId16" w:history="1">
        <w:r w:rsidR="00F93B2B" w:rsidRPr="00E2079C">
          <w:rPr>
            <w:rFonts w:ascii="Arial" w:hAnsi="Arial" w:cs="Arial"/>
            <w:color w:val="0000FF"/>
            <w:sz w:val="28"/>
            <w:szCs w:val="28"/>
            <w:u w:val="single"/>
          </w:rPr>
          <w:t>https://academic.oup.com/biomedgerontology/advance-article/doi/10.1093/gerona/glz296/5681689</w:t>
        </w:r>
      </w:hyperlink>
      <w:r w:rsidR="00F93B2B" w:rsidRPr="00E2079C">
        <w:rPr>
          <w:rFonts w:ascii="Arial" w:hAnsi="Arial" w:cs="Arial"/>
          <w:sz w:val="28"/>
          <w:szCs w:val="28"/>
        </w:rPr>
        <w:t xml:space="preserve"> .</w:t>
      </w:r>
      <w:r w:rsidR="00FE0B18" w:rsidRPr="00E2079C">
        <w:rPr>
          <w:rFonts w:ascii="Arial" w:hAnsi="Arial" w:cs="Arial"/>
          <w:sz w:val="28"/>
          <w:szCs w:val="28"/>
        </w:rPr>
        <w:t xml:space="preserve"> Anche altri studi hanno concl</w:t>
      </w:r>
      <w:r w:rsidR="00CE19BB" w:rsidRPr="00E2079C">
        <w:rPr>
          <w:rFonts w:ascii="Arial" w:hAnsi="Arial" w:cs="Arial"/>
          <w:sz w:val="28"/>
          <w:szCs w:val="28"/>
        </w:rPr>
        <w:t>u</w:t>
      </w:r>
      <w:r w:rsidR="00FE0B18" w:rsidRPr="00E2079C">
        <w:rPr>
          <w:rFonts w:ascii="Arial" w:hAnsi="Arial" w:cs="Arial"/>
          <w:sz w:val="28"/>
          <w:szCs w:val="28"/>
        </w:rPr>
        <w:t xml:space="preserve">so che la presenza del Geriatra nella nursing home potrebbe prevenire </w:t>
      </w:r>
      <w:proofErr w:type="gramStart"/>
      <w:r w:rsidR="00FE0B18" w:rsidRPr="00E2079C">
        <w:rPr>
          <w:rFonts w:ascii="Arial" w:hAnsi="Arial" w:cs="Arial"/>
          <w:sz w:val="28"/>
          <w:szCs w:val="28"/>
        </w:rPr>
        <w:t>l’ ospedalizzazione</w:t>
      </w:r>
      <w:proofErr w:type="gramEnd"/>
      <w:r w:rsidR="00FE0B18" w:rsidRPr="00E2079C">
        <w:rPr>
          <w:rFonts w:ascii="Arial" w:hAnsi="Arial" w:cs="Arial"/>
          <w:sz w:val="28"/>
          <w:szCs w:val="28"/>
        </w:rPr>
        <w:t xml:space="preserve"> dell’ ospite (JAMDA 2020; 21: 139)</w:t>
      </w:r>
      <w:r w:rsidR="00D43FB8" w:rsidRPr="00E2079C">
        <w:rPr>
          <w:rFonts w:ascii="Arial" w:hAnsi="Arial" w:cs="Arial"/>
          <w:sz w:val="28"/>
          <w:szCs w:val="28"/>
        </w:rPr>
        <w:t>.</w:t>
      </w:r>
      <w:r w:rsidR="00D43FB8" w:rsidRPr="00E2079C">
        <w:rPr>
          <w:rFonts w:ascii="Arial" w:hAnsi="Arial" w:cs="Arial"/>
          <w:color w:val="131413"/>
          <w:sz w:val="28"/>
          <w:szCs w:val="28"/>
        </w:rPr>
        <w:t xml:space="preserve"> E’ </w:t>
      </w:r>
      <w:proofErr w:type="gramStart"/>
      <w:r w:rsidR="00D43FB8" w:rsidRPr="00E2079C">
        <w:rPr>
          <w:rFonts w:ascii="Arial" w:hAnsi="Arial" w:cs="Arial"/>
          <w:color w:val="131413"/>
          <w:sz w:val="28"/>
          <w:szCs w:val="28"/>
        </w:rPr>
        <w:t>noto  che</w:t>
      </w:r>
      <w:proofErr w:type="gramEnd"/>
      <w:r w:rsidR="00D43FB8" w:rsidRPr="00E2079C">
        <w:rPr>
          <w:rFonts w:ascii="Arial" w:hAnsi="Arial" w:cs="Arial"/>
          <w:color w:val="131413"/>
          <w:sz w:val="28"/>
          <w:szCs w:val="28"/>
        </w:rPr>
        <w:t xml:space="preserve"> le cause più frequenti di trasferimento</w:t>
      </w:r>
      <w:r w:rsidR="006D2C0C">
        <w:rPr>
          <w:rFonts w:ascii="Arial" w:hAnsi="Arial" w:cs="Arial"/>
          <w:color w:val="131413"/>
          <w:sz w:val="28"/>
          <w:szCs w:val="28"/>
        </w:rPr>
        <w:t xml:space="preserve"> dell’ ospite di struttura al pronto soccorso</w:t>
      </w:r>
      <w:r w:rsidR="00D43FB8" w:rsidRPr="00E2079C">
        <w:rPr>
          <w:rFonts w:ascii="Arial" w:hAnsi="Arial" w:cs="Arial"/>
          <w:color w:val="131413"/>
          <w:sz w:val="28"/>
          <w:szCs w:val="28"/>
        </w:rPr>
        <w:t xml:space="preserve"> sono il trauma dopo caduta, le infezioni e alterazioni dello stato mentale e del comportamento; i trasferimenti risul</w:t>
      </w:r>
      <w:r w:rsidR="006D2C0C">
        <w:rPr>
          <w:rFonts w:ascii="Arial" w:hAnsi="Arial" w:cs="Arial"/>
          <w:color w:val="131413"/>
          <w:sz w:val="28"/>
          <w:szCs w:val="28"/>
        </w:rPr>
        <w:t>tano spesso inappropriati ( fino al</w:t>
      </w:r>
      <w:r w:rsidR="00D43FB8" w:rsidRPr="00E2079C">
        <w:rPr>
          <w:rFonts w:ascii="Arial" w:hAnsi="Arial" w:cs="Arial"/>
          <w:color w:val="131413"/>
          <w:sz w:val="28"/>
          <w:szCs w:val="28"/>
        </w:rPr>
        <w:t xml:space="preserve"> 50% dei cas</w:t>
      </w:r>
      <w:r w:rsidR="003828EC">
        <w:rPr>
          <w:rFonts w:ascii="Arial" w:hAnsi="Arial" w:cs="Arial"/>
          <w:color w:val="131413"/>
          <w:sz w:val="28"/>
          <w:szCs w:val="28"/>
        </w:rPr>
        <w:t xml:space="preserve">i) (BMC </w:t>
      </w:r>
      <w:proofErr w:type="spellStart"/>
      <w:r w:rsidR="003828EC">
        <w:rPr>
          <w:rFonts w:ascii="Arial" w:hAnsi="Arial" w:cs="Arial"/>
          <w:color w:val="131413"/>
          <w:sz w:val="28"/>
          <w:szCs w:val="28"/>
        </w:rPr>
        <w:t>Geriatrics</w:t>
      </w:r>
      <w:proofErr w:type="spellEnd"/>
      <w:r w:rsidR="003828EC">
        <w:rPr>
          <w:rFonts w:ascii="Arial" w:hAnsi="Arial" w:cs="Arial"/>
          <w:color w:val="131413"/>
          <w:sz w:val="28"/>
          <w:szCs w:val="28"/>
        </w:rPr>
        <w:t xml:space="preserve"> 2019; 19:17).</w:t>
      </w:r>
      <w:r w:rsidR="00D43FB8" w:rsidRPr="00E2079C">
        <w:rPr>
          <w:rFonts w:ascii="Arial" w:hAnsi="Arial" w:cs="Arial"/>
          <w:color w:val="131413"/>
          <w:sz w:val="28"/>
          <w:szCs w:val="28"/>
        </w:rPr>
        <w:t xml:space="preserve"> </w:t>
      </w:r>
      <w:r w:rsidR="00B12084" w:rsidRPr="00B12084">
        <w:rPr>
          <w:rFonts w:ascii="Arial" w:hAnsi="Arial" w:cs="Arial"/>
          <w:color w:val="131413"/>
          <w:sz w:val="28"/>
          <w:szCs w:val="28"/>
        </w:rPr>
        <w:t xml:space="preserve">Studi italiani hanno dimostrato che </w:t>
      </w:r>
      <w:proofErr w:type="gramStart"/>
      <w:r w:rsidR="00C45E1F">
        <w:rPr>
          <w:rFonts w:ascii="Arial" w:eastAsia="ITCGaramondStd-Bk" w:hAnsi="Arial" w:cs="Arial"/>
          <w:sz w:val="28"/>
          <w:szCs w:val="28"/>
        </w:rPr>
        <w:t>il  tasso</w:t>
      </w:r>
      <w:proofErr w:type="gramEnd"/>
      <w:r w:rsidR="00C45E1F">
        <w:rPr>
          <w:rFonts w:ascii="Arial" w:eastAsia="ITCGaramondStd-Bk" w:hAnsi="Arial" w:cs="Arial"/>
          <w:sz w:val="28"/>
          <w:szCs w:val="28"/>
        </w:rPr>
        <w:t xml:space="preserve"> di accesso in pronto soccorso  per gli ospiti delle residenze per anziani  </w:t>
      </w:r>
      <w:r w:rsidR="00B12084" w:rsidRPr="00B12084">
        <w:rPr>
          <w:rFonts w:ascii="Arial" w:eastAsia="ITCGaramondStd-Bk" w:hAnsi="Arial" w:cs="Arial"/>
          <w:sz w:val="28"/>
          <w:szCs w:val="28"/>
        </w:rPr>
        <w:t>del Distrett</w:t>
      </w:r>
      <w:r w:rsidR="003828EC">
        <w:rPr>
          <w:rFonts w:ascii="Arial" w:eastAsia="ITCGaramondStd-Bk" w:hAnsi="Arial" w:cs="Arial"/>
          <w:sz w:val="28"/>
          <w:szCs w:val="28"/>
        </w:rPr>
        <w:t>o 4 della ULSS 20 di Verona è</w:t>
      </w:r>
      <w:r w:rsidR="00B12084" w:rsidRPr="00B12084">
        <w:rPr>
          <w:rFonts w:ascii="Arial" w:eastAsia="ITCGaramondStd-Bk" w:hAnsi="Arial" w:cs="Arial"/>
          <w:sz w:val="28"/>
          <w:szCs w:val="28"/>
        </w:rPr>
        <w:t xml:space="preserve"> 3 volte</w:t>
      </w:r>
      <w:r w:rsidR="00B12084">
        <w:rPr>
          <w:rFonts w:ascii="Arial" w:eastAsia="ITCGaramondStd-Bk" w:hAnsi="Arial" w:cs="Arial"/>
          <w:sz w:val="28"/>
          <w:szCs w:val="28"/>
        </w:rPr>
        <w:t xml:space="preserve"> </w:t>
      </w:r>
      <w:r w:rsidR="00B12084" w:rsidRPr="00B12084">
        <w:rPr>
          <w:rFonts w:ascii="Arial" w:eastAsia="ITCGaramondStd-Bk" w:hAnsi="Arial" w:cs="Arial"/>
          <w:sz w:val="28"/>
          <w:szCs w:val="28"/>
        </w:rPr>
        <w:t>maggiore rispetto alla popolazione generale e 2</w:t>
      </w:r>
      <w:r w:rsidR="00B12084">
        <w:rPr>
          <w:rFonts w:ascii="Arial" w:eastAsia="ITCGaramondStd-Bk" w:hAnsi="Arial" w:cs="Arial"/>
          <w:sz w:val="28"/>
          <w:szCs w:val="28"/>
        </w:rPr>
        <w:t xml:space="preserve"> </w:t>
      </w:r>
      <w:r w:rsidR="00B12084" w:rsidRPr="00B12084">
        <w:rPr>
          <w:rFonts w:ascii="Arial" w:eastAsia="ITCGaramondStd-Bk" w:hAnsi="Arial" w:cs="Arial"/>
          <w:sz w:val="28"/>
          <w:szCs w:val="28"/>
        </w:rPr>
        <w:t>volte maggiore rispetto a quella anziana</w:t>
      </w:r>
      <w:r w:rsidR="00B12084">
        <w:rPr>
          <w:rFonts w:ascii="Arial" w:eastAsia="ITCGaramondStd-Bk" w:hAnsi="Arial" w:cs="Arial"/>
          <w:sz w:val="28"/>
          <w:szCs w:val="28"/>
        </w:rPr>
        <w:t xml:space="preserve"> (G </w:t>
      </w:r>
      <w:proofErr w:type="spellStart"/>
      <w:r w:rsidR="00B12084">
        <w:rPr>
          <w:rFonts w:ascii="Arial" w:eastAsia="ITCGaramondStd-Bk" w:hAnsi="Arial" w:cs="Arial"/>
          <w:sz w:val="28"/>
          <w:szCs w:val="28"/>
        </w:rPr>
        <w:t>Gerontol</w:t>
      </w:r>
      <w:proofErr w:type="spellEnd"/>
      <w:r w:rsidR="00B12084">
        <w:rPr>
          <w:rFonts w:ascii="Arial" w:eastAsia="ITCGaramondStd-Bk" w:hAnsi="Arial" w:cs="Arial"/>
          <w:sz w:val="28"/>
          <w:szCs w:val="28"/>
        </w:rPr>
        <w:t xml:space="preserve"> </w:t>
      </w:r>
      <w:r w:rsidR="00B12084" w:rsidRPr="00156676">
        <w:rPr>
          <w:rFonts w:ascii="Arial" w:eastAsia="ITCGaramondStd-Bk" w:hAnsi="Arial" w:cs="Arial"/>
          <w:sz w:val="24"/>
          <w:szCs w:val="24"/>
        </w:rPr>
        <w:t>2014;</w:t>
      </w:r>
      <w:r w:rsidR="00156676" w:rsidRPr="00156676">
        <w:rPr>
          <w:rFonts w:ascii="Arial" w:hAnsi="Arial" w:cs="Arial"/>
          <w:sz w:val="24"/>
          <w:szCs w:val="24"/>
        </w:rPr>
        <w:t>62:136-141</w:t>
      </w:r>
      <w:r w:rsidR="00156676">
        <w:rPr>
          <w:rFonts w:ascii="Arial" w:hAnsi="Arial" w:cs="Arial"/>
          <w:sz w:val="24"/>
          <w:szCs w:val="24"/>
        </w:rPr>
        <w:t>)</w:t>
      </w:r>
      <w:r w:rsidR="00B12084" w:rsidRPr="00156676">
        <w:rPr>
          <w:rFonts w:ascii="Arial" w:eastAsia="ITCGaramondStd-Bk" w:hAnsi="Arial" w:cs="Arial"/>
          <w:sz w:val="24"/>
          <w:szCs w:val="24"/>
        </w:rPr>
        <w:t>.</w:t>
      </w:r>
    </w:p>
    <w:p w14:paraId="17EB5A2F" w14:textId="77777777" w:rsidR="00CB22AE" w:rsidRPr="00B12084" w:rsidRDefault="00CB22AE" w:rsidP="00B12084">
      <w:pPr>
        <w:autoSpaceDE w:val="0"/>
        <w:autoSpaceDN w:val="0"/>
        <w:adjustRightInd w:val="0"/>
        <w:spacing w:after="0" w:line="240" w:lineRule="auto"/>
        <w:rPr>
          <w:rFonts w:ascii="Arial" w:eastAsia="ITCGaramondStd-Bk" w:hAnsi="Arial" w:cs="Arial"/>
          <w:sz w:val="28"/>
          <w:szCs w:val="28"/>
        </w:rPr>
      </w:pPr>
    </w:p>
    <w:p w14:paraId="74C23F5C" w14:textId="77777777" w:rsidR="00137DFF" w:rsidRDefault="00F93B2B" w:rsidP="00A977B1">
      <w:pPr>
        <w:jc w:val="both"/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</w:pPr>
      <w:r w:rsidRPr="00E2079C">
        <w:rPr>
          <w:rFonts w:ascii="Arial" w:hAnsi="Arial" w:cs="Arial"/>
          <w:sz w:val="28"/>
          <w:szCs w:val="28"/>
        </w:rPr>
        <w:t xml:space="preserve">In </w:t>
      </w:r>
      <w:r w:rsidR="00156676">
        <w:rPr>
          <w:rFonts w:ascii="Arial" w:hAnsi="Arial" w:cs="Arial"/>
          <w:sz w:val="28"/>
          <w:szCs w:val="28"/>
        </w:rPr>
        <w:t xml:space="preserve">un recente </w:t>
      </w:r>
      <w:r w:rsidRPr="00E2079C">
        <w:rPr>
          <w:rFonts w:ascii="Arial" w:hAnsi="Arial" w:cs="Arial"/>
          <w:sz w:val="28"/>
          <w:szCs w:val="28"/>
        </w:rPr>
        <w:t xml:space="preserve">studio  italiano sono stati valutati </w:t>
      </w:r>
      <w:r w:rsidR="009E62EA" w:rsidRPr="00E2079C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i </w:t>
      </w:r>
      <w:proofErr w:type="spellStart"/>
      <w:r w:rsidR="009E62EA" w:rsidRPr="00E2079C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predittori</w:t>
      </w:r>
      <w:proofErr w:type="spellEnd"/>
      <w:r w:rsidR="009E62EA" w:rsidRPr="00E2079C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indip</w:t>
      </w:r>
      <w:r w:rsidR="00EE260E" w:rsidRPr="00E2079C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endenti del declino funzionale n</w:t>
      </w:r>
      <w:r w:rsidR="009E62EA" w:rsidRPr="00E2079C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ei residenti di casa di</w:t>
      </w:r>
      <w:r w:rsidR="006D6B37" w:rsidRPr="00E2079C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riposo </w:t>
      </w:r>
      <w:r w:rsidRPr="00E2079C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(57 RSA) </w:t>
      </w:r>
      <w:r w:rsidR="00EE260E" w:rsidRPr="00E2079C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più </w:t>
      </w:r>
      <w:r w:rsidR="00EE260E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anziani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</w:t>
      </w:r>
      <w:r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( 1760 residenti)  </w:t>
      </w:r>
      <w:r w:rsidR="003B4EB8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(studio </w:t>
      </w:r>
      <w:r w:rsidR="00156676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longitudinale </w:t>
      </w:r>
      <w:r w:rsidR="003B4EB8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SHELTER</w:t>
      </w:r>
      <w:r w:rsidR="005207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-</w:t>
      </w:r>
      <w:r w:rsidR="005207EA" w:rsidRPr="006805ED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Services and </w:t>
      </w:r>
      <w:proofErr w:type="spellStart"/>
      <w:r w:rsidR="005207EA" w:rsidRPr="006805ED">
        <w:rPr>
          <w:rFonts w:ascii="Arial" w:hAnsi="Arial" w:cs="Arial"/>
          <w:color w:val="3C4043"/>
          <w:sz w:val="28"/>
          <w:szCs w:val="28"/>
          <w:shd w:val="clear" w:color="auto" w:fill="FFFFFF"/>
        </w:rPr>
        <w:t>Health</w:t>
      </w:r>
      <w:proofErr w:type="spellEnd"/>
      <w:r w:rsidR="005207EA" w:rsidRPr="006805ED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for </w:t>
      </w:r>
      <w:proofErr w:type="spellStart"/>
      <w:r w:rsidR="005207EA" w:rsidRPr="006805ED">
        <w:rPr>
          <w:rStyle w:val="Enfasicorsivo"/>
          <w:rFonts w:ascii="Arial" w:hAnsi="Arial" w:cs="Arial"/>
          <w:b/>
          <w:bCs/>
          <w:i w:val="0"/>
          <w:iCs w:val="0"/>
          <w:color w:val="52565A"/>
          <w:sz w:val="28"/>
          <w:szCs w:val="28"/>
          <w:shd w:val="clear" w:color="auto" w:fill="FFFFFF"/>
        </w:rPr>
        <w:t>Elderly</w:t>
      </w:r>
      <w:proofErr w:type="spellEnd"/>
      <w:r w:rsidR="006805ED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 in Long </w:t>
      </w:r>
      <w:proofErr w:type="spellStart"/>
      <w:r w:rsidR="006805ED">
        <w:rPr>
          <w:rFonts w:ascii="Arial" w:hAnsi="Arial" w:cs="Arial"/>
          <w:color w:val="3C4043"/>
          <w:sz w:val="28"/>
          <w:szCs w:val="28"/>
          <w:shd w:val="clear" w:color="auto" w:fill="FFFFFF"/>
        </w:rPr>
        <w:t>TERm</w:t>
      </w:r>
      <w:proofErr w:type="spellEnd"/>
      <w:r w:rsidR="006805ED">
        <w:rPr>
          <w:rFonts w:ascii="Arial" w:hAnsi="Arial" w:cs="Arial"/>
          <w:color w:val="3C4043"/>
          <w:sz w:val="28"/>
          <w:szCs w:val="28"/>
          <w:shd w:val="clear" w:color="auto" w:fill="FFFFFF"/>
        </w:rPr>
        <w:t xml:space="preserve"> care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); 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i reside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nti sono stati valutati  utilizzando  </w:t>
      </w:r>
      <w:proofErr w:type="spellStart"/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interRAI</w:t>
      </w:r>
      <w:proofErr w:type="spellEnd"/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-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LTCF</w:t>
      </w:r>
      <w:r w:rsidR="00C10364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- </w:t>
      </w:r>
      <w:hyperlink r:id="rId17" w:history="1">
        <w:r w:rsidR="00C10364" w:rsidRPr="006805ED">
          <w:rPr>
            <w:rFonts w:ascii="Arial" w:hAnsi="Arial" w:cs="Arial"/>
            <w:color w:val="0000FF"/>
            <w:sz w:val="28"/>
            <w:szCs w:val="28"/>
            <w:u w:val="single"/>
          </w:rPr>
          <w:t>http://www.interrai-it.org/Strumenti.aspx?cat=01075796-0cd9-4f53-91dc-408cd87795dd&amp;id=901f4b10-7df1-4d8e-97af-6d25f6737f0e</w:t>
        </w:r>
      </w:hyperlink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. Il declino fun</w:t>
      </w:r>
      <w:r w:rsidR="006805ED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zionale è</w:t>
      </w:r>
      <w:r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definito </w:t>
      </w:r>
      <w:proofErr w:type="gramStart"/>
      <w:r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come 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aumento</w:t>
      </w:r>
      <w:proofErr w:type="gramEnd"/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di almeno un punto della scala ADL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-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Long Form ADL 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- 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durante un follow-up di </w:t>
      </w:r>
      <w:r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1 anno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. Sono stati presi in consider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azione gli effetti delle caratteristiche della </w:t>
      </w:r>
      <w:proofErr w:type="gramStart"/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RSA 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e</w:t>
      </w:r>
      <w:proofErr w:type="gramEnd"/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degli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effetti del pa</w:t>
      </w:r>
      <w:r w:rsidR="00A84B91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ese; d</w:t>
      </w:r>
      <w:r w:rsidR="003F44BF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urante lo studio </w:t>
      </w:r>
      <w:proofErr w:type="spellStart"/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studio</w:t>
      </w:r>
      <w:proofErr w:type="spellEnd"/>
      <w:r w:rsidR="003F44BF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ben 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89</w:t>
      </w:r>
      <w:r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1 (50.6 %) 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residenti </w:t>
      </w:r>
      <w:r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mostrarono </w:t>
      </w:r>
      <w:r w:rsidR="003F44BF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declino delle 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ADL: questi </w:t>
      </w:r>
      <w:r w:rsidR="003F44BF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erano più anziani, con 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disabilità inferiore all’inizio </w:t>
      </w:r>
      <w:r w:rsidR="003F44BF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della osservazione, 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demenza grave e 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inc</w:t>
      </w:r>
      <w:r w:rsidR="004A23D4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ontinenza urinaria;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ricevevano più antipsi</w:t>
      </w:r>
      <w:r w:rsidR="004A23D4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cotici ed </w:t>
      </w:r>
      <w:r w:rsidR="003F44BF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erano ospiti delle 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RSA meno organizzate</w:t>
      </w:r>
      <w:r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.</w:t>
      </w:r>
      <w:r w:rsidR="004A23D4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I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fattori associati indipendentemente ad un 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lastRenderedPageBreak/>
        <w:t>maggior ris</w:t>
      </w:r>
      <w:r w:rsidR="003F44BF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chio di declino funzionale risultano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la demenza e l'incontinenza urin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aria, mentre la pr</w:t>
      </w:r>
      <w:r w:rsidR="003F44BF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esenza di un Geriatra nella </w:t>
      </w:r>
    </w:p>
    <w:p w14:paraId="00B9EA89" w14:textId="77777777" w:rsidR="00137DFF" w:rsidRDefault="00137DFF" w:rsidP="00F93B2B">
      <w:pPr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</w:pPr>
    </w:p>
    <w:p w14:paraId="4E690E46" w14:textId="77777777" w:rsidR="00137DFF" w:rsidRDefault="00137DFF" w:rsidP="00F93B2B">
      <w:pPr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</w:pPr>
    </w:p>
    <w:p w14:paraId="732911B6" w14:textId="2CE99210" w:rsidR="009E62EA" w:rsidRPr="00137DFF" w:rsidRDefault="003F44BF" w:rsidP="00F93B2B">
      <w:pPr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struttura risulta 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protettiva. La </w:t>
      </w:r>
      <w:proofErr w:type="gramStart"/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miglior 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qu</w:t>
      </w:r>
      <w:r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alità</w:t>
      </w:r>
      <w:proofErr w:type="gramEnd"/>
      <w:r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dell'assistenza sanitaria </w:t>
      </w:r>
      <w:r w:rsidR="003828EC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nelle residenze </w:t>
      </w:r>
      <w:r w:rsidR="004A23D4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si ha</w:t>
      </w:r>
      <w:r w:rsidR="00137DFF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,</w:t>
      </w:r>
      <w:r w:rsidR="00FE5ADE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</w:t>
      </w:r>
      <w:r w:rsidR="00137DFF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come già detto, </w:t>
      </w:r>
      <w:r w:rsidR="00FE5ADE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con la </w:t>
      </w:r>
      <w:r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presenza </w:t>
      </w:r>
      <w:r w:rsidR="004A23D4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del</w:t>
      </w:r>
      <w:r w:rsidR="006D6B37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G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eriatr</w:t>
      </w:r>
      <w:r w:rsidR="00825804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a </w:t>
      </w:r>
      <w:r w:rsidR="00FE5ADE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; </w:t>
      </w:r>
      <w:r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>è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 </w:t>
      </w:r>
      <w:r w:rsidR="00FE5ADE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questa </w:t>
      </w:r>
      <w:r w:rsidR="009E62EA" w:rsidRPr="006805ED">
        <w:rPr>
          <w:rFonts w:ascii="Arial" w:eastAsia="Times New Roman" w:hAnsi="Arial" w:cs="Arial"/>
          <w:color w:val="1C1E21"/>
          <w:sz w:val="28"/>
          <w:szCs w:val="28"/>
          <w:shd w:val="clear" w:color="auto" w:fill="FFFFFF"/>
          <w:lang w:eastAsia="it-IT"/>
        </w:rPr>
        <w:t xml:space="preserve">una strategia </w:t>
      </w:r>
      <w:r w:rsidR="009E62EA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>importante</w:t>
      </w:r>
      <w:r w:rsidR="00F93B2B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 xml:space="preserve"> da consigliare fortemente </w:t>
      </w:r>
      <w:r w:rsidR="009E62EA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 xml:space="preserve"> per migliorare i risultati di</w:t>
      </w:r>
      <w:r w:rsidR="00825804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 xml:space="preserve"> questa popolazione vulnerabile che di solito n</w:t>
      </w:r>
      <w:r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>on ha</w:t>
      </w:r>
      <w:r w:rsidR="00F93B2B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 xml:space="preserve"> adeguate attenzioni. </w:t>
      </w:r>
      <w:r w:rsidR="00FE5ADE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 xml:space="preserve">Ma </w:t>
      </w:r>
      <w:r w:rsidR="006D2C0C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 xml:space="preserve">nella realtà </w:t>
      </w:r>
      <w:r w:rsidR="00FE5ADE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 xml:space="preserve">non sono tanti i Geriatri presenti nello </w:t>
      </w:r>
      <w:proofErr w:type="gramStart"/>
      <w:r w:rsidR="00FE5ADE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>staff  delle</w:t>
      </w:r>
      <w:proofErr w:type="gramEnd"/>
      <w:r w:rsidR="00FE5ADE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 xml:space="preserve"> Residenze sanitarie assistenziali (RSA) private e pubbliche</w:t>
      </w:r>
      <w:r w:rsidR="003828EC" w:rsidRPr="004A23D4">
        <w:rPr>
          <w:rFonts w:ascii="Arial" w:eastAsia="Times New Roman" w:hAnsi="Arial" w:cs="Arial"/>
          <w:sz w:val="28"/>
          <w:szCs w:val="28"/>
          <w:shd w:val="clear" w:color="auto" w:fill="FFFFFF"/>
          <w:lang w:eastAsia="it-IT"/>
        </w:rPr>
        <w:t>.</w:t>
      </w:r>
    </w:p>
    <w:p w14:paraId="402C5A55" w14:textId="78BBB79A" w:rsidR="003828EC" w:rsidRPr="004A23D4" w:rsidRDefault="003828EC" w:rsidP="003828EC">
      <w:pPr>
        <w:shd w:val="clear" w:color="auto" w:fill="FFFFFF"/>
        <w:spacing w:after="165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4A23D4">
        <w:rPr>
          <w:rFonts w:ascii="Arial" w:eastAsia="Times New Roman" w:hAnsi="Arial" w:cs="Arial"/>
          <w:sz w:val="28"/>
          <w:szCs w:val="28"/>
          <w:lang w:eastAsia="it-IT"/>
        </w:rPr>
        <w:t xml:space="preserve">Si deve tener conto della crescente presenza di anziani con grave declino cognitivo nelle strutture per anziani; il loro trattamento è problematico; si raccomandano interventi centrati sulla persona per massimizzare la qualità della vita </w:t>
      </w:r>
      <w:proofErr w:type="gramStart"/>
      <w:r w:rsidRPr="004A23D4">
        <w:rPr>
          <w:rFonts w:ascii="Arial" w:eastAsia="Times New Roman" w:hAnsi="Arial" w:cs="Arial"/>
          <w:sz w:val="28"/>
          <w:szCs w:val="28"/>
          <w:lang w:eastAsia="it-IT"/>
        </w:rPr>
        <w:t>dell’ ospite</w:t>
      </w:r>
      <w:proofErr w:type="gramEnd"/>
      <w:r w:rsidRPr="004A23D4">
        <w:rPr>
          <w:rFonts w:ascii="Arial" w:eastAsia="Times New Roman" w:hAnsi="Arial" w:cs="Arial"/>
          <w:sz w:val="28"/>
          <w:szCs w:val="28"/>
          <w:lang w:eastAsia="it-IT"/>
        </w:rPr>
        <w:t xml:space="preserve">; è necessario evitare l’ accanimento terapeutico, applicare interventi palliativi e </w:t>
      </w:r>
      <w:proofErr w:type="spellStart"/>
      <w:r w:rsidRPr="004A23D4">
        <w:rPr>
          <w:rFonts w:ascii="Arial" w:eastAsia="Times New Roman" w:hAnsi="Arial" w:cs="Arial"/>
          <w:sz w:val="28"/>
          <w:szCs w:val="28"/>
          <w:lang w:eastAsia="it-IT"/>
        </w:rPr>
        <w:t>deprescrivere</w:t>
      </w:r>
      <w:proofErr w:type="spellEnd"/>
      <w:r w:rsidRPr="004A23D4">
        <w:rPr>
          <w:rFonts w:ascii="Arial" w:eastAsia="Times New Roman" w:hAnsi="Arial" w:cs="Arial"/>
          <w:sz w:val="28"/>
          <w:szCs w:val="28"/>
          <w:lang w:eastAsia="it-IT"/>
        </w:rPr>
        <w:t xml:space="preserve"> farmaci ricordando che ci sono anche interventi di tipo non-farmacologico che possono dare minimi benefici</w:t>
      </w:r>
    </w:p>
    <w:p w14:paraId="77E68854" w14:textId="5F4959D2" w:rsidR="00614044" w:rsidRPr="003828EC" w:rsidRDefault="00614044" w:rsidP="003828EC">
      <w:pPr>
        <w:autoSpaceDE w:val="0"/>
        <w:autoSpaceDN w:val="0"/>
        <w:adjustRightInd w:val="0"/>
        <w:spacing w:after="0" w:line="240" w:lineRule="auto"/>
        <w:rPr>
          <w:rFonts w:ascii="KjwpmbAdvTTb5929f4c" w:hAnsi="KjwpmbAdvTTb5929f4c" w:cs="KjwpmbAdvTTb5929f4c"/>
          <w:color w:val="131413"/>
          <w:sz w:val="20"/>
          <w:szCs w:val="20"/>
          <w:lang w:val="en-US"/>
        </w:rPr>
      </w:pPr>
      <w:r w:rsidRPr="004A23D4">
        <w:rPr>
          <w:rFonts w:ascii="Arial" w:hAnsi="Arial" w:cs="Arial"/>
          <w:sz w:val="28"/>
          <w:szCs w:val="28"/>
          <w:shd w:val="clear" w:color="auto" w:fill="FFFFFF"/>
        </w:rPr>
        <w:t xml:space="preserve">La </w:t>
      </w:r>
      <w:proofErr w:type="spellStart"/>
      <w:r w:rsidRPr="004A23D4">
        <w:rPr>
          <w:rFonts w:ascii="Arial" w:hAnsi="Arial" w:cs="Arial"/>
          <w:sz w:val="28"/>
          <w:szCs w:val="28"/>
          <w:shd w:val="clear" w:color="auto" w:fill="FFFFFF"/>
        </w:rPr>
        <w:t>multimorbilità</w:t>
      </w:r>
      <w:proofErr w:type="spellEnd"/>
      <w:r w:rsidRPr="004A23D4">
        <w:rPr>
          <w:rFonts w:ascii="Arial" w:hAnsi="Arial" w:cs="Arial"/>
          <w:sz w:val="28"/>
          <w:szCs w:val="28"/>
          <w:shd w:val="clear" w:color="auto" w:fill="FFFFFF"/>
        </w:rPr>
        <w:t xml:space="preserve"> influenza negativamente la qualità della vita, le capacità di lavorare, la fragilità e la disabilità, la mortalità e impegna di più i sistemi sanitari e la loro organizzazione e soprattutto i costi. </w:t>
      </w:r>
      <w:r w:rsidR="003828EC" w:rsidRPr="004A23D4">
        <w:rPr>
          <w:rFonts w:ascii="Arial" w:hAnsi="Arial" w:cs="Arial"/>
          <w:sz w:val="28"/>
          <w:szCs w:val="28"/>
          <w:shd w:val="clear" w:color="auto" w:fill="FFFFFF"/>
        </w:rPr>
        <w:t xml:space="preserve">Pertanto i problemi posti dalla </w:t>
      </w:r>
      <w:proofErr w:type="spellStart"/>
      <w:r w:rsidR="003828EC" w:rsidRPr="004A23D4">
        <w:rPr>
          <w:rFonts w:ascii="Arial" w:hAnsi="Arial" w:cs="Arial"/>
          <w:sz w:val="28"/>
          <w:szCs w:val="28"/>
          <w:shd w:val="clear" w:color="auto" w:fill="FFFFFF"/>
        </w:rPr>
        <w:t>multimorbilità</w:t>
      </w:r>
      <w:proofErr w:type="spellEnd"/>
      <w:r w:rsidR="003828EC" w:rsidRPr="004A23D4">
        <w:rPr>
          <w:rFonts w:ascii="Arial" w:hAnsi="Arial" w:cs="Arial"/>
          <w:sz w:val="28"/>
          <w:szCs w:val="28"/>
          <w:shd w:val="clear" w:color="auto" w:fill="FFFFFF"/>
        </w:rPr>
        <w:t xml:space="preserve"> devono essere affrontati in tutti i setting geriatrici. </w:t>
      </w:r>
      <w:r w:rsidRPr="004A23D4">
        <w:rPr>
          <w:rFonts w:ascii="Arial" w:hAnsi="Arial" w:cs="Arial"/>
          <w:sz w:val="28"/>
          <w:szCs w:val="28"/>
          <w:shd w:val="clear" w:color="auto" w:fill="FFFFFF"/>
        </w:rPr>
        <w:t>Nella medic</w:t>
      </w:r>
      <w:r w:rsidR="003828EC" w:rsidRPr="004A23D4">
        <w:rPr>
          <w:rFonts w:ascii="Arial" w:hAnsi="Arial" w:cs="Arial"/>
          <w:sz w:val="28"/>
          <w:szCs w:val="28"/>
          <w:shd w:val="clear" w:color="auto" w:fill="FFFFFF"/>
        </w:rPr>
        <w:t>ina generale si dovrà promuovere il passaggio</w:t>
      </w:r>
      <w:r w:rsidRPr="004A23D4">
        <w:rPr>
          <w:rFonts w:ascii="Arial" w:hAnsi="Arial" w:cs="Arial"/>
          <w:sz w:val="28"/>
          <w:szCs w:val="28"/>
          <w:shd w:val="clear" w:color="auto" w:fill="FFFFFF"/>
        </w:rPr>
        <w:t xml:space="preserve"> dal modello della singola </w:t>
      </w:r>
      <w:r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malattia a quello della </w:t>
      </w:r>
      <w:proofErr w:type="spellStart"/>
      <w:r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>multi</w:t>
      </w:r>
      <w:r w:rsidR="003828EC">
        <w:rPr>
          <w:rFonts w:ascii="Arial" w:hAnsi="Arial" w:cs="Arial"/>
          <w:color w:val="000000"/>
          <w:sz w:val="28"/>
          <w:szCs w:val="28"/>
          <w:shd w:val="clear" w:color="auto" w:fill="FFFFFF"/>
        </w:rPr>
        <w:t>morbilità</w:t>
      </w:r>
      <w:proofErr w:type="spellEnd"/>
      <w:r w:rsidR="003828EC">
        <w:rPr>
          <w:rFonts w:ascii="Arial" w:hAnsi="Arial" w:cs="Arial"/>
          <w:color w:val="000000"/>
          <w:sz w:val="28"/>
          <w:szCs w:val="28"/>
          <w:shd w:val="clear" w:color="auto" w:fill="FFFFFF"/>
        </w:rPr>
        <w:t>, basato</w:t>
      </w:r>
      <w:r w:rsidR="00A977B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su</w:t>
      </w:r>
      <w:r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cure integrate e coordinate che tengono conto delle di</w:t>
      </w:r>
      <w:r w:rsidR="003828EC">
        <w:rPr>
          <w:rFonts w:ascii="Arial" w:hAnsi="Arial" w:cs="Arial"/>
          <w:color w:val="000000"/>
          <w:sz w:val="28"/>
          <w:szCs w:val="28"/>
          <w:shd w:val="clear" w:color="auto" w:fill="FFFFFF"/>
        </w:rPr>
        <w:t>verse condizioni presenti; così si</w:t>
      </w:r>
      <w:r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realizza la </w:t>
      </w:r>
      <w:proofErr w:type="spellStart"/>
      <w:r w:rsidR="00DB36D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patient</w:t>
      </w:r>
      <w:proofErr w:type="spellEnd"/>
      <w:r w:rsidR="00DB36D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93339B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centred</w:t>
      </w:r>
      <w:proofErr w:type="spellEnd"/>
      <w:r w:rsidRPr="0093339B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care</w:t>
      </w:r>
      <w:r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</w:t>
      </w:r>
      <w:r w:rsidR="003828E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on goal </w:t>
      </w:r>
      <w:proofErr w:type="gramStart"/>
      <w:r w:rsidR="003828EC">
        <w:rPr>
          <w:rFonts w:ascii="Arial" w:hAnsi="Arial" w:cs="Arial"/>
          <w:color w:val="000000"/>
          <w:sz w:val="28"/>
          <w:szCs w:val="28"/>
          <w:shd w:val="clear" w:color="auto" w:fill="FFFFFF"/>
        </w:rPr>
        <w:t>espliciti  e</w:t>
      </w:r>
      <w:proofErr w:type="gramEnd"/>
      <w:r w:rsidR="003828E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prioritari (vedi figura esplicativa)</w:t>
      </w:r>
    </w:p>
    <w:p w14:paraId="0EF840F8" w14:textId="77777777" w:rsidR="00614044" w:rsidRPr="00614044" w:rsidRDefault="00614044" w:rsidP="00614044">
      <w:r w:rsidRPr="00614044">
        <w:t> </w:t>
      </w:r>
    </w:p>
    <w:p w14:paraId="64E128E2" w14:textId="09C6A7C6" w:rsidR="00614044" w:rsidRDefault="00614044" w:rsidP="00614044">
      <w:r>
        <w:rPr>
          <w:noProof/>
          <w:lang w:eastAsia="it-IT"/>
        </w:rPr>
        <w:drawing>
          <wp:inline distT="0" distB="0" distL="0" distR="0" wp14:anchorId="03697766" wp14:editId="723FDE17">
            <wp:extent cx="5450440" cy="3051175"/>
            <wp:effectExtent l="0" t="0" r="0" b="0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281" cy="305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A482F" w14:textId="77777777" w:rsidR="00614044" w:rsidRDefault="00614044" w:rsidP="00614044"/>
    <w:p w14:paraId="5E96071F" w14:textId="3DEDA1A8" w:rsidR="00614044" w:rsidRDefault="00137DFF" w:rsidP="0061404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r w:rsidR="002E6B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risultati ottenuti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nelle residenze per anziano </w:t>
      </w:r>
      <w:r w:rsidR="002E6B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devono </w:t>
      </w:r>
      <w:r w:rsidR="004B26E7">
        <w:rPr>
          <w:rFonts w:ascii="Arial" w:hAnsi="Arial" w:cs="Arial"/>
          <w:color w:val="000000"/>
          <w:sz w:val="28"/>
          <w:szCs w:val="28"/>
          <w:shd w:val="clear" w:color="auto" w:fill="FFFFFF"/>
        </w:rPr>
        <w:t>essere noti. Inoltre 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 deve </w:t>
      </w:r>
      <w:r w:rsidR="0025573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promuovere maggiormente </w:t>
      </w:r>
      <w:r w:rsidR="00614044"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>la</w:t>
      </w:r>
      <w:r w:rsidR="004B26E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prevenzione secondaria per evitare</w:t>
      </w:r>
      <w:r w:rsidR="00614044"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le </w:t>
      </w:r>
      <w:proofErr w:type="gramStart"/>
      <w:r w:rsidR="00614044"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>esacerbazioni  delle</w:t>
      </w:r>
      <w:proofErr w:type="gramEnd"/>
      <w:r w:rsidR="00614044"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diverse malattie</w:t>
      </w:r>
      <w:r w:rsidR="0025573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(vaccinazioni, adeguata alimentazione, </w:t>
      </w:r>
      <w:r w:rsidR="004B26E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farmaci prescritti con criteri geriatrici, </w:t>
      </w:r>
      <w:r w:rsidR="0025573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training mentale</w:t>
      </w:r>
      <w:r w:rsidR="004B26E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ed esercizio fisico</w:t>
      </w:r>
      <w:r w:rsidR="0025573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quando possibili).  Diventerà </w:t>
      </w:r>
      <w:r w:rsidR="00614044"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indispensabile </w:t>
      </w:r>
      <w:proofErr w:type="gramStart"/>
      <w:r w:rsidR="00614044"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>l’ utilizzazione</w:t>
      </w:r>
      <w:proofErr w:type="gramEnd"/>
      <w:r w:rsidR="00614044" w:rsidRPr="009333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della cartella clinica informatizzata a disposizione degli operatori sanit</w:t>
      </w:r>
      <w:r w:rsidR="002E6B34">
        <w:rPr>
          <w:rFonts w:ascii="Arial" w:hAnsi="Arial" w:cs="Arial"/>
          <w:color w:val="000000"/>
          <w:sz w:val="28"/>
          <w:szCs w:val="28"/>
          <w:shd w:val="clear" w:color="auto" w:fill="FFFFFF"/>
        </w:rPr>
        <w:t>ari dei diversi setting di cura: si raccoglieranno</w:t>
      </w:r>
      <w:r w:rsidR="004B26E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così </w:t>
      </w:r>
      <w:r w:rsidR="002E6B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informazioni utili alla</w:t>
      </w:r>
      <w:r w:rsidR="004B26E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creazione di banche dati neces</w:t>
      </w:r>
      <w:r w:rsidR="0025573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sarie </w:t>
      </w:r>
      <w:r w:rsidR="002E6B34">
        <w:rPr>
          <w:rFonts w:ascii="Arial" w:hAnsi="Arial" w:cs="Arial"/>
          <w:color w:val="000000"/>
          <w:sz w:val="28"/>
          <w:szCs w:val="28"/>
          <w:shd w:val="clear" w:color="auto" w:fill="FFFFFF"/>
        </w:rPr>
        <w:t>alla ricerca clinica geriatrica.</w:t>
      </w:r>
    </w:p>
    <w:p w14:paraId="09EFE895" w14:textId="53BA5D9E" w:rsidR="00A868F6" w:rsidRPr="00443232" w:rsidRDefault="00A868F6" w:rsidP="00A868F6">
      <w:pPr>
        <w:autoSpaceDE w:val="0"/>
        <w:autoSpaceDN w:val="0"/>
        <w:adjustRightInd w:val="0"/>
        <w:spacing w:after="0" w:line="240" w:lineRule="auto"/>
        <w:rPr>
          <w:rFonts w:ascii="GillSansStd" w:hAnsi="GillSansStd" w:cs="GillSansStd"/>
          <w:sz w:val="20"/>
          <w:szCs w:val="20"/>
          <w:lang w:val="en-US"/>
        </w:rPr>
      </w:pPr>
    </w:p>
    <w:p w14:paraId="657A640A" w14:textId="3E8F7ECD" w:rsidR="00A868F6" w:rsidRPr="00443232" w:rsidRDefault="00A868F6" w:rsidP="00A868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2"/>
          <w:sz w:val="27"/>
          <w:szCs w:val="27"/>
          <w:lang w:val="en-US" w:eastAsia="it-IT"/>
        </w:rPr>
      </w:pPr>
      <w:r w:rsidRPr="00443232">
        <w:rPr>
          <w:rFonts w:ascii="Arial" w:eastAsia="Times New Roman" w:hAnsi="Arial" w:cs="Arial"/>
          <w:color w:val="404042"/>
          <w:sz w:val="27"/>
          <w:szCs w:val="27"/>
          <w:lang w:val="en-US" w:eastAsia="it-IT"/>
        </w:rPr>
        <w:t>.</w:t>
      </w:r>
    </w:p>
    <w:p w14:paraId="2FA646CC" w14:textId="77777777" w:rsidR="00A868F6" w:rsidRPr="00443232" w:rsidRDefault="00A868F6" w:rsidP="00A868F6">
      <w:pPr>
        <w:autoSpaceDE w:val="0"/>
        <w:autoSpaceDN w:val="0"/>
        <w:adjustRightInd w:val="0"/>
        <w:spacing w:after="0" w:line="240" w:lineRule="auto"/>
        <w:rPr>
          <w:rFonts w:ascii="GillSansStd" w:hAnsi="GillSansStd" w:cs="GillSansStd"/>
          <w:sz w:val="20"/>
          <w:szCs w:val="20"/>
          <w:lang w:val="en-US"/>
        </w:rPr>
      </w:pPr>
    </w:p>
    <w:p w14:paraId="150CD193" w14:textId="77777777" w:rsidR="0041390D" w:rsidRPr="00443232" w:rsidRDefault="0041390D" w:rsidP="003A2BC9">
      <w:pPr>
        <w:shd w:val="clear" w:color="auto" w:fill="FAFAFA"/>
        <w:spacing w:after="288" w:line="360" w:lineRule="atLeast"/>
        <w:rPr>
          <w:rFonts w:ascii="Helvetica Neue" w:eastAsia="Times New Roman" w:hAnsi="Helvetica Neue" w:cs="Times New Roman"/>
          <w:color w:val="333333"/>
          <w:sz w:val="28"/>
          <w:szCs w:val="28"/>
          <w:lang w:val="en-US" w:eastAsia="it-IT"/>
        </w:rPr>
      </w:pPr>
    </w:p>
    <w:p w14:paraId="2328976F" w14:textId="77777777" w:rsidR="003A2BC9" w:rsidRPr="00443232" w:rsidRDefault="003A2BC9" w:rsidP="00614044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</w:p>
    <w:p w14:paraId="4A16CF4A" w14:textId="77777777" w:rsidR="00614044" w:rsidRPr="00443232" w:rsidRDefault="00614044" w:rsidP="00614044">
      <w:pPr>
        <w:rPr>
          <w:color w:val="000000"/>
          <w:shd w:val="clear" w:color="auto" w:fill="FFFFFF"/>
          <w:lang w:val="en-US"/>
        </w:rPr>
      </w:pPr>
    </w:p>
    <w:p w14:paraId="532FC404" w14:textId="77777777" w:rsidR="00614044" w:rsidRPr="00443232" w:rsidRDefault="00614044" w:rsidP="00A04C7C">
      <w:pPr>
        <w:autoSpaceDE w:val="0"/>
        <w:autoSpaceDN w:val="0"/>
        <w:adjustRightInd w:val="0"/>
        <w:spacing w:after="0" w:line="240" w:lineRule="auto"/>
        <w:rPr>
          <w:rFonts w:ascii="KjwpmbAdvTTb5929f4c" w:hAnsi="KjwpmbAdvTTb5929f4c" w:cs="KjwpmbAdvTTb5929f4c"/>
          <w:color w:val="131413"/>
          <w:sz w:val="20"/>
          <w:szCs w:val="20"/>
          <w:lang w:val="en-US"/>
        </w:rPr>
      </w:pPr>
    </w:p>
    <w:p w14:paraId="73CC5E4D" w14:textId="77777777" w:rsidR="009E62EA" w:rsidRPr="00443232" w:rsidRDefault="009E62EA">
      <w:pPr>
        <w:rPr>
          <w:rFonts w:ascii="Arial" w:hAnsi="Arial" w:cs="Arial"/>
          <w:sz w:val="28"/>
          <w:szCs w:val="28"/>
          <w:lang w:val="en-US"/>
        </w:rPr>
      </w:pPr>
    </w:p>
    <w:sectPr w:rsidR="009E62EA" w:rsidRPr="00443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mnfwgAdvTT86d4731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San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ITCGaramondStd-Bk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jwpmbAdvTTb5929f4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589B"/>
    <w:multiLevelType w:val="multilevel"/>
    <w:tmpl w:val="FEE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12ECF"/>
    <w:multiLevelType w:val="multilevel"/>
    <w:tmpl w:val="CF5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12560"/>
    <w:multiLevelType w:val="multilevel"/>
    <w:tmpl w:val="190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EA"/>
    <w:rsid w:val="000135B2"/>
    <w:rsid w:val="00013E3F"/>
    <w:rsid w:val="00085711"/>
    <w:rsid w:val="000C4380"/>
    <w:rsid w:val="000E1CBC"/>
    <w:rsid w:val="00137DFF"/>
    <w:rsid w:val="001444CF"/>
    <w:rsid w:val="00156676"/>
    <w:rsid w:val="001719EC"/>
    <w:rsid w:val="00191FB0"/>
    <w:rsid w:val="00223107"/>
    <w:rsid w:val="00233080"/>
    <w:rsid w:val="00255732"/>
    <w:rsid w:val="00257503"/>
    <w:rsid w:val="00262315"/>
    <w:rsid w:val="002724CD"/>
    <w:rsid w:val="002967CA"/>
    <w:rsid w:val="002B2CFB"/>
    <w:rsid w:val="002E6B34"/>
    <w:rsid w:val="00304F46"/>
    <w:rsid w:val="003260F4"/>
    <w:rsid w:val="00331259"/>
    <w:rsid w:val="00335E38"/>
    <w:rsid w:val="003547CD"/>
    <w:rsid w:val="003828EC"/>
    <w:rsid w:val="003A1B0A"/>
    <w:rsid w:val="003A2BC9"/>
    <w:rsid w:val="003B4EB8"/>
    <w:rsid w:val="003D19B0"/>
    <w:rsid w:val="003F44BF"/>
    <w:rsid w:val="003F6737"/>
    <w:rsid w:val="00404C39"/>
    <w:rsid w:val="00411F38"/>
    <w:rsid w:val="0041390D"/>
    <w:rsid w:val="00443232"/>
    <w:rsid w:val="00460657"/>
    <w:rsid w:val="004667C4"/>
    <w:rsid w:val="00491A04"/>
    <w:rsid w:val="004A23D4"/>
    <w:rsid w:val="004B26E7"/>
    <w:rsid w:val="004F43FC"/>
    <w:rsid w:val="005006D6"/>
    <w:rsid w:val="005207EA"/>
    <w:rsid w:val="00526ACF"/>
    <w:rsid w:val="00532551"/>
    <w:rsid w:val="00575E59"/>
    <w:rsid w:val="0057668D"/>
    <w:rsid w:val="00591CDD"/>
    <w:rsid w:val="005B63B4"/>
    <w:rsid w:val="00614044"/>
    <w:rsid w:val="00620D17"/>
    <w:rsid w:val="0062647B"/>
    <w:rsid w:val="00637475"/>
    <w:rsid w:val="006805ED"/>
    <w:rsid w:val="006A371D"/>
    <w:rsid w:val="006A7317"/>
    <w:rsid w:val="006D2C0C"/>
    <w:rsid w:val="006D6B37"/>
    <w:rsid w:val="007742EC"/>
    <w:rsid w:val="00775798"/>
    <w:rsid w:val="007C3E25"/>
    <w:rsid w:val="007F02A9"/>
    <w:rsid w:val="00825804"/>
    <w:rsid w:val="00862C36"/>
    <w:rsid w:val="00871A20"/>
    <w:rsid w:val="008962B6"/>
    <w:rsid w:val="008B04AB"/>
    <w:rsid w:val="008C6DD2"/>
    <w:rsid w:val="008D4390"/>
    <w:rsid w:val="008D739F"/>
    <w:rsid w:val="008E7D37"/>
    <w:rsid w:val="008F0461"/>
    <w:rsid w:val="008F5FCD"/>
    <w:rsid w:val="0093339B"/>
    <w:rsid w:val="00955927"/>
    <w:rsid w:val="00957B14"/>
    <w:rsid w:val="0096798A"/>
    <w:rsid w:val="00995832"/>
    <w:rsid w:val="009D1C0C"/>
    <w:rsid w:val="009E62EA"/>
    <w:rsid w:val="00A04C7C"/>
    <w:rsid w:val="00A525E2"/>
    <w:rsid w:val="00A84B91"/>
    <w:rsid w:val="00A868F6"/>
    <w:rsid w:val="00A91231"/>
    <w:rsid w:val="00A9687F"/>
    <w:rsid w:val="00A977B1"/>
    <w:rsid w:val="00AC3744"/>
    <w:rsid w:val="00B07CE6"/>
    <w:rsid w:val="00B12084"/>
    <w:rsid w:val="00B13DBE"/>
    <w:rsid w:val="00B53F28"/>
    <w:rsid w:val="00BB7927"/>
    <w:rsid w:val="00C10364"/>
    <w:rsid w:val="00C27571"/>
    <w:rsid w:val="00C35669"/>
    <w:rsid w:val="00C45E1F"/>
    <w:rsid w:val="00CB22AE"/>
    <w:rsid w:val="00CC4664"/>
    <w:rsid w:val="00CC6C86"/>
    <w:rsid w:val="00CE19BB"/>
    <w:rsid w:val="00D43FB8"/>
    <w:rsid w:val="00D51AF1"/>
    <w:rsid w:val="00D60A35"/>
    <w:rsid w:val="00DA4165"/>
    <w:rsid w:val="00DB36D2"/>
    <w:rsid w:val="00DE61FB"/>
    <w:rsid w:val="00DF00BD"/>
    <w:rsid w:val="00E118E8"/>
    <w:rsid w:val="00E2079C"/>
    <w:rsid w:val="00E47565"/>
    <w:rsid w:val="00E5291C"/>
    <w:rsid w:val="00E60F13"/>
    <w:rsid w:val="00E72BEF"/>
    <w:rsid w:val="00E948BF"/>
    <w:rsid w:val="00EA1E7C"/>
    <w:rsid w:val="00EE260E"/>
    <w:rsid w:val="00F5001E"/>
    <w:rsid w:val="00F85E26"/>
    <w:rsid w:val="00F93B2B"/>
    <w:rsid w:val="00FC19D8"/>
    <w:rsid w:val="00FE0B18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4229"/>
  <w15:chartTrackingRefBased/>
  <w15:docId w15:val="{3EB858D6-A175-4494-889D-4CF867A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24CD"/>
    <w:rPr>
      <w:color w:val="0000FF"/>
      <w:u w:val="single"/>
    </w:rPr>
  </w:style>
  <w:style w:type="character" w:customStyle="1" w:styleId="f">
    <w:name w:val="f"/>
    <w:basedOn w:val="Carpredefinitoparagrafo"/>
    <w:rsid w:val="005207EA"/>
  </w:style>
  <w:style w:type="character" w:styleId="Enfasicorsivo">
    <w:name w:val="Emphasis"/>
    <w:basedOn w:val="Carpredefinitoparagrafo"/>
    <w:uiPriority w:val="20"/>
    <w:qFormat/>
    <w:rsid w:val="005207EA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43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CE6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2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4056">
                  <w:marLeft w:val="-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4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2644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771">
              <w:marLeft w:val="0"/>
              <w:marRight w:val="0"/>
              <w:marTop w:val="0"/>
              <w:marBottom w:val="0"/>
              <w:divBdr>
                <w:top w:val="none" w:sz="0" w:space="8" w:color="CCCCCC"/>
                <w:left w:val="single" w:sz="6" w:space="11" w:color="CCCCCC"/>
                <w:bottom w:val="single" w:sz="6" w:space="4" w:color="CCCCCC"/>
                <w:right w:val="single" w:sz="6" w:space="11" w:color="CCCCCC"/>
              </w:divBdr>
              <w:divsChild>
                <w:div w:id="179464032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4604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862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tol.ac.uk/primaryhealthcare/researchthemes/organisationanddelivery/ltcmultimorbidity.html" TargetMode="External"/><Relationship Id="rId13" Type="http://schemas.openxmlformats.org/officeDocument/2006/relationships/hyperlink" Target="https://www.spcr.nihr.ac.uk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england.nhs.uk/publication/my-home-life-promoting-quality-of-life-in-care-homes/" TargetMode="External"/><Relationship Id="rId12" Type="http://schemas.openxmlformats.org/officeDocument/2006/relationships/hyperlink" Target="https://www.spcr.nihr.ac.uk/" TargetMode="External"/><Relationship Id="rId17" Type="http://schemas.openxmlformats.org/officeDocument/2006/relationships/hyperlink" Target="http://www.interrai-it.org/Strumenti.aspx?cat=01075796-0cd9-4f53-91dc-408cd87795dd&amp;id=901f4b10-7df1-4d8e-97af-6d25f6737f0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c.oup.com/biomedgerontology/advance-article/doi/10.1093/gerona/glz296/568168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dabocconi.it/it/sda-bocconi-insight/la-performance-nei-network-dalle-strutture-ai-comportamenti" TargetMode="External"/><Relationship Id="rId11" Type="http://schemas.openxmlformats.org/officeDocument/2006/relationships/hyperlink" Target="https://www.mdcalc.com/charlson-comorbidity-index-cci" TargetMode="External"/><Relationship Id="rId5" Type="http://schemas.openxmlformats.org/officeDocument/2006/relationships/hyperlink" Target="https://www.ceps.eu/download/publication/?id=6724&amp;pdf=ENEPRI%20_ANCIEN_%20RR%20No%2080%20Italy%20edited%20final.pdf" TargetMode="External"/><Relationship Id="rId15" Type="http://schemas.openxmlformats.org/officeDocument/2006/relationships/hyperlink" Target="https://www.phpc.cam.ac.uk/pcu/cprd_cam/codelists/v11/" TargetMode="External"/><Relationship Id="rId10" Type="http://schemas.openxmlformats.org/officeDocument/2006/relationships/hyperlink" Target="https://www.repository.cam.ac.uk/handle/1810/29963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cmaj.ca/lookup/doi/10.1503/cmaj.19075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120</cp:revision>
  <dcterms:created xsi:type="dcterms:W3CDTF">2020-02-07T07:27:00Z</dcterms:created>
  <dcterms:modified xsi:type="dcterms:W3CDTF">2020-02-17T08:50:00Z</dcterms:modified>
</cp:coreProperties>
</file>