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9BAC" w14:textId="77777777" w:rsidR="004F507E" w:rsidRPr="004F507E" w:rsidRDefault="004F507E" w:rsidP="004F507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  <w:r w:rsidRPr="004F507E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Il futuro della fragilità: l'opportunità bussa</w:t>
      </w:r>
    </w:p>
    <w:p w14:paraId="0EFEDC72" w14:textId="77777777" w:rsidR="004F507E" w:rsidRPr="004F507E" w:rsidRDefault="004F507E" w:rsidP="004F507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</w:p>
    <w:p w14:paraId="48F93E21" w14:textId="77777777" w:rsidR="001E30AC" w:rsidRDefault="004F507E" w:rsidP="004F507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</w:pP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Mai prima d'ora c'è stato tanto interesse per la fragilità. </w:t>
      </w:r>
    </w:p>
    <w:p w14:paraId="5F54B607" w14:textId="50641B51" w:rsidR="00C77DD3" w:rsidRDefault="004F507E" w:rsidP="004F507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</w:pP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Un tempo </w:t>
      </w:r>
      <w:r w:rsidR="00F733E8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era tema </w:t>
      </w:r>
      <w:r w:rsidR="00F57D82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di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dominio </w:t>
      </w:r>
      <w:r w:rsidR="00F733E8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quasi esclusivo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della gerontologia e della geriatria</w:t>
      </w:r>
      <w:r w:rsidR="001E30AC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: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le collaborazioni interdisciplinari innovative e l'ascesa della medicina</w:t>
      </w:r>
      <w:r w:rsidR="00F733E8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basata sul valore hanno determinato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una rapida espansione nella ricerca sulla fragilità, con oltre 3700 menzioni di fragilità in </w:t>
      </w:r>
      <w:proofErr w:type="spellStart"/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PubMed</w:t>
      </w:r>
      <w:proofErr w:type="spellEnd"/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nel 2020. Nonostante questa crescita e oltre 20 anni di evidenza del valore clinico di un fenotipo basato sulla biologia e di un modello di accumulo di deficit basato sull'ingegneria di fragilità, l'implementazione della valutazione della fragilità </w:t>
      </w:r>
      <w:r w:rsidR="00F733E8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(FI-</w:t>
      </w:r>
      <w:proofErr w:type="spellStart"/>
      <w:r w:rsidR="00F733E8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frailty</w:t>
      </w:r>
      <w:proofErr w:type="spellEnd"/>
      <w:r w:rsidR="00F733E8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index)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nella pratica clinica deve ancora verificarsi.  Cooper et al. </w:t>
      </w:r>
      <w:r w:rsidR="00F57D82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(JAGS 2021; 70:90-98)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svilupp</w:t>
      </w:r>
      <w:r w:rsidR="00F57D82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ano l’associazione, </w:t>
      </w:r>
      <w:r w:rsidR="007B77B8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l’</w:t>
      </w:r>
      <w:r w:rsidR="00F57D82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integrazione fra la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valutazione </w:t>
      </w:r>
      <w:r w:rsidR="00F733E8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multidimensionale </w:t>
      </w:r>
      <w:proofErr w:type="gramStart"/>
      <w:r w:rsidR="00F733E8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geriatrica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standardizzata</w:t>
      </w:r>
      <w:proofErr w:type="gramEnd"/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(CGA) </w:t>
      </w:r>
      <w:r w:rsidR="00F733E8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e un indice di fragilità basato</w:t>
      </w:r>
      <w:r w:rsidR="007B77B8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su</w:t>
      </w:r>
      <w:r w:rsidR="00F733E8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dati della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CGA e </w:t>
      </w:r>
      <w:r w:rsidR="00F733E8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soprattutto </w:t>
      </w:r>
      <w:r w:rsidR="00F57D82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</w:t>
      </w:r>
      <w:r w:rsidR="00F733E8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la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implementazione </w:t>
      </w:r>
      <w:r w:rsidR="00F733E8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della CGA-FI </w:t>
      </w:r>
      <w:r w:rsidR="00F57D82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in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una divisione di medicina geriatrica </w:t>
      </w:r>
      <w:r w:rsidR="003A3CF4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dotata di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servizi di cogestione e </w:t>
      </w:r>
      <w:r w:rsidR="003A3CF4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di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consulenz</w:t>
      </w:r>
      <w:r w:rsidR="003A3CF4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a</w:t>
      </w:r>
      <w:r w:rsidR="00F733E8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. </w:t>
      </w:r>
    </w:p>
    <w:p w14:paraId="640A46DF" w14:textId="77777777" w:rsidR="00F733E8" w:rsidRDefault="00F733E8" w:rsidP="004F507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La </w:t>
      </w:r>
      <w:r w:rsidR="004F507E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CGA-FI è </w:t>
      </w:r>
      <w:r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stata</w:t>
      </w:r>
      <w:r w:rsidR="003A3CF4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giudicato utile da </w:t>
      </w:r>
      <w:r w:rsidR="004F507E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12 geriatri che hanno risposto affermando di utilizzare “sempre” il CGA-FI con i nuovi pazienti</w:t>
      </w:r>
      <w:r w:rsidR="007B77B8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;</w:t>
      </w:r>
      <w:r w:rsidR="004F507E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</w:t>
      </w:r>
      <w:r w:rsidR="007B77B8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i</w:t>
      </w:r>
      <w:r w:rsidR="004F507E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noltre, il 58% degli intervistati concorda sul fatto che CGA-FI aiuta </w:t>
      </w:r>
      <w:proofErr w:type="gramStart"/>
      <w:r w:rsidR="004F507E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il  flusso</w:t>
      </w:r>
      <w:proofErr w:type="gramEnd"/>
      <w:r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</w:t>
      </w:r>
      <w:r w:rsidR="004F507E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d</w:t>
      </w:r>
      <w:r w:rsidR="003A3CF4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el loro</w:t>
      </w:r>
      <w:r w:rsidR="004F507E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lavoro e l'82% che CGA-FI </w:t>
      </w:r>
      <w:r w:rsidR="003A3CF4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è di aiuto anche nel </w:t>
      </w:r>
      <w:r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piano di gestione. </w:t>
      </w:r>
    </w:p>
    <w:p w14:paraId="326ACD20" w14:textId="6B85870D" w:rsidR="004F507E" w:rsidRPr="00DF49C9" w:rsidRDefault="00F733E8" w:rsidP="004F507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La</w:t>
      </w:r>
      <w:r w:rsidR="004F507E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CGA-FI rappresenta </w:t>
      </w:r>
      <w:r w:rsidR="003A3CF4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quindi </w:t>
      </w:r>
      <w:r w:rsidR="004F507E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un approccio completo, ponde</w:t>
      </w:r>
      <w:r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rato e sistematico, che </w:t>
      </w:r>
      <w:r w:rsidR="007C50DF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è in grado di </w:t>
      </w:r>
      <w:r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evidenzia</w:t>
      </w:r>
      <w:r w:rsidR="007C50DF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re</w:t>
      </w:r>
      <w:r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 una </w:t>
      </w:r>
      <w:r w:rsidR="00BD67C4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somma </w:t>
      </w:r>
      <w:r w:rsidR="004F507E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dei deficit legati all'in</w:t>
      </w:r>
      <w:r w:rsidR="007C50DF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vecchiamento e </w:t>
      </w:r>
      <w:r w:rsidR="004F507E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misure obiett</w:t>
      </w:r>
      <w:r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ive delle prestazioni  dal paziente che </w:t>
      </w:r>
      <w:r w:rsidR="00BD67C4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concorrono a costruire il dato </w:t>
      </w:r>
      <w:r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fornito dal</w:t>
      </w:r>
      <w:r w:rsidR="004F507E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FI basato su CGA. Una caratteristica fondamentale del l</w:t>
      </w:r>
      <w:r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avoro di Cooper et al. </w:t>
      </w:r>
      <w:r>
        <w:rPr>
          <w:rFonts w:ascii="inherit" w:eastAsia="Times New Roman" w:hAnsi="inherit" w:cs="Courier New" w:hint="eastAsia"/>
          <w:color w:val="202124"/>
          <w:sz w:val="28"/>
          <w:szCs w:val="28"/>
          <w:lang w:eastAsia="it-IT"/>
        </w:rPr>
        <w:t xml:space="preserve">è </w:t>
      </w:r>
      <w:r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la continua </w:t>
      </w:r>
      <w:r w:rsidR="002E6265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volontà di formalizzare la valutazione della </w:t>
      </w:r>
      <w:proofErr w:type="gramStart"/>
      <w:r w:rsidR="002E6265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fragilità </w:t>
      </w:r>
      <w:r w:rsidR="004F507E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anche</w:t>
      </w:r>
      <w:proofErr w:type="gramEnd"/>
      <w:r w:rsidR="004F507E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nel contesto dell'uso </w:t>
      </w:r>
      <w:r w:rsidR="003A3CF4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corrente </w:t>
      </w:r>
      <w:r w:rsidR="004F507E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di CGA. Ci sono </w:t>
      </w:r>
      <w:r w:rsidR="002E6265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stati </w:t>
      </w:r>
      <w:r w:rsidR="00386788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problemi riguardanti</w:t>
      </w:r>
      <w:r w:rsidR="004F507E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</w:t>
      </w:r>
      <w:r w:rsidR="004A4B7B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per esempio </w:t>
      </w:r>
      <w:r w:rsidR="002E6265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la definizione delle caratteristiche dei</w:t>
      </w:r>
      <w:r w:rsidR="004F507E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deficit legati all'età </w:t>
      </w:r>
      <w:r w:rsidR="002E6265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che sono </w:t>
      </w:r>
      <w:r w:rsidR="002E6265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lastRenderedPageBreak/>
        <w:t xml:space="preserve">stati </w:t>
      </w:r>
      <w:proofErr w:type="gramStart"/>
      <w:r w:rsidR="002E6265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valutati </w:t>
      </w:r>
      <w:r w:rsidR="004F507E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in</w:t>
      </w:r>
      <w:proofErr w:type="gramEnd"/>
      <w:r w:rsidR="004F507E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modo affidabile</w:t>
      </w:r>
      <w:r w:rsidR="00386788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così come</w:t>
      </w:r>
      <w:r w:rsidR="004F507E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il processo di integrazione della tecnologia dell'informazione e delle cartelle cliniche elettroniche (EHR), la formazione dei </w:t>
      </w:r>
      <w:r w:rsidR="00C821C9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providers </w:t>
      </w:r>
      <w:r w:rsidR="004F507E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e gli sforzi per guidare la successiva diffu</w:t>
      </w:r>
      <w:r w:rsidR="007C50DF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sione e crescita. E’ stato </w:t>
      </w:r>
      <w:proofErr w:type="gramStart"/>
      <w:r w:rsidR="007C50DF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necessario </w:t>
      </w:r>
      <w:r w:rsidR="004F507E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un</w:t>
      </w:r>
      <w:proofErr w:type="gramEnd"/>
      <w:r w:rsidR="004F507E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processo</w:t>
      </w:r>
      <w:r w:rsidR="004A4B7B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</w:t>
      </w:r>
      <w:r w:rsidR="007C50DF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pluriennale </w:t>
      </w:r>
      <w:r w:rsidR="004A4B7B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importante </w:t>
      </w:r>
      <w:r w:rsidR="004F507E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di implementazione colla</w:t>
      </w:r>
      <w:r w:rsidR="007C50DF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borativo e iterativo</w:t>
      </w:r>
      <w:r w:rsidR="004F507E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, per il quale gli autori dovrebbero</w:t>
      </w:r>
      <w:r w:rsidR="007C50DF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essere lodati….</w:t>
      </w:r>
    </w:p>
    <w:p w14:paraId="2D6E49D8" w14:textId="54132071" w:rsidR="00E154F7" w:rsidRDefault="004F507E" w:rsidP="00963DC5">
      <w:pPr>
        <w:pStyle w:val="PreformattatoHTML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</w:pP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Poiché noi in geriatria cerchiamo di</w:t>
      </w:r>
      <w:r w:rsidR="00B2089A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considerare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la fragilità come principio organizzativo centrale </w:t>
      </w:r>
      <w:r w:rsidR="007C50DF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d</w:t>
      </w:r>
      <w:r w:rsidR="00B2089A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i riferimento per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di un'assistenza efficace per le persone anziane, il lavoro di Cooper et al. evidenzia due grandi potenziali insidie</w:t>
      </w:r>
      <w:r w:rsidR="004A4B7B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: i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n primo luogo, riportano un </w:t>
      </w:r>
      <w:r w:rsidR="004A4B7B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numero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impressionante di valutazioni CGA-FI </w:t>
      </w:r>
      <w:proofErr w:type="gramStart"/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completate,  oltre</w:t>
      </w:r>
      <w:proofErr w:type="gramEnd"/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1400 pazienti all'anno</w:t>
      </w:r>
      <w:r w:rsidR="004A4B7B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,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in gran parte </w:t>
      </w:r>
      <w:r w:rsidR="004A4B7B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degente in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strutture ospedaliere</w:t>
      </w:r>
      <w:r w:rsidR="004A4B7B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; pertanto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la loro implementazione CGA-FI </w:t>
      </w:r>
      <w:r w:rsidR="004A4B7B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non risolve i</w:t>
      </w:r>
      <w:r w:rsidR="007C50DF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l</w:t>
      </w:r>
      <w:r w:rsidR="004A4B7B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problema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</w:t>
      </w:r>
      <w:r w:rsidR="00B55565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rilevante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dello screening della fragilità come </w:t>
      </w:r>
      <w:r w:rsidR="007C50DF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dovrebbe far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parte de</w:t>
      </w:r>
      <w:r w:rsidR="00B55565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lla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preven</w:t>
      </w:r>
      <w:r w:rsidR="00B55565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zione da realizzare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</w:t>
      </w:r>
      <w:r w:rsidR="00B55565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n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elle cure primarie. In secondo luogo, </w:t>
      </w:r>
      <w:r w:rsidR="00B2089A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non è nota la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percentuale d</w:t>
      </w:r>
      <w:r w:rsidR="00B2089A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egli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anziani curati </w:t>
      </w:r>
      <w:r w:rsidR="007C50DF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con il</w:t>
      </w:r>
      <w:r w:rsidR="00E154F7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sistema citato da Cooper et al</w:t>
      </w:r>
      <w:r w:rsidR="007C50DF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.</w:t>
      </w:r>
      <w:r w:rsidR="00E154F7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</w:t>
      </w:r>
      <w:r w:rsidR="00E154F7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dove </w:t>
      </w:r>
      <w:r w:rsidR="007C50DF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le </w:t>
      </w:r>
      <w:r w:rsidR="00E154F7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competenze geriatriche </w:t>
      </w:r>
      <w:r w:rsidR="00B2089A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</w:t>
      </w:r>
      <w:r w:rsidR="00F023A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hanno completato </w:t>
      </w:r>
      <w:r w:rsidR="00B2089A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l</w:t>
      </w:r>
      <w:r w:rsidR="00F023A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e tante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CGA-FI. La</w:t>
      </w:r>
      <w:r w:rsidR="00E154F7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</w:t>
      </w:r>
      <w:r w:rsidR="00B2089A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struttura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del CGA-FI </w:t>
      </w:r>
      <w:r w:rsidR="007C50DF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(vedi figura)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è di fondamentale importanza per comprendere la scalabilità d</w:t>
      </w:r>
      <w:r w:rsidR="00B2089A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ello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strumento di fragilità</w:t>
      </w:r>
      <w:r w:rsidR="00F023A9">
        <w:rPr>
          <w:rFonts w:ascii="Roboto" w:hAnsi="Roboto"/>
          <w:color w:val="3A3A3A"/>
          <w:shd w:val="clear" w:color="auto" w:fill="FFFFFF"/>
        </w:rPr>
        <w:t> (un sistema è descritto come scalabile se è in grado di incrementare le proprie prestazioni, e quindi di rimanere efficiente, quando si verifica un incremento significativo del numero di risorse e di utenti).</w:t>
      </w:r>
      <w:r w:rsidR="007C50DF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che richiede Geriatri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sia per la raccolta dei dati che per l'interpretazione</w:t>
      </w:r>
      <w:r w:rsidR="00F023A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dei risultati.</w:t>
      </w:r>
      <w:r w:rsidR="00963DC5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</w:t>
      </w:r>
    </w:p>
    <w:p w14:paraId="13B3EFA9" w14:textId="7CD08403" w:rsidR="00846C35" w:rsidRDefault="00963DC5" w:rsidP="00963DC5">
      <w:pPr>
        <w:pStyle w:val="PreformattatoHTML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</w:pP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Non ci sono </w:t>
      </w:r>
      <w:r w:rsidR="007C50DF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e non ci saranno abbastanza G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eriatri negli Stati Uniti per valutare e gestire la popolazione degli an</w:t>
      </w:r>
      <w:r w:rsidR="007C50DF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ziani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. Inoltre, gli attuali meccanismi di pagamento non supportano lo sforzo e il tempo per la valutazione faccia a faccia. Quindi, </w:t>
      </w:r>
      <w:r w:rsidR="007C50DF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la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CGA-FI fa avanzare </w:t>
      </w:r>
      <w:r w:rsidR="007C50DF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e </w:t>
      </w:r>
      <w:r w:rsidR="00846C35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promuove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la fragilità </w:t>
      </w:r>
      <w:r w:rsidR="00846C35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come valutazione standardizzata, uniforme e</w:t>
      </w:r>
      <w:r w:rsidR="007C50DF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clinicamente utile </w:t>
      </w:r>
      <w:proofErr w:type="gramStart"/>
      <w:r w:rsidR="00846C35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associa</w:t>
      </w:r>
      <w:r w:rsidR="007C50DF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ndola</w:t>
      </w:r>
      <w:r w:rsidR="00846C35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</w:t>
      </w:r>
      <w:r w:rsidR="007C50DF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alla</w:t>
      </w:r>
      <w:proofErr w:type="gramEnd"/>
      <w:r w:rsidR="007C50DF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CGA con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documentazione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lastRenderedPageBreak/>
        <w:t>accessibil</w:t>
      </w:r>
      <w:r w:rsidR="007C50DF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e</w:t>
      </w:r>
      <w:r w:rsidR="00846C35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dalla cartella clinica informatizzata</w:t>
      </w:r>
      <w:r w:rsidR="007C50DF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(EHR)</w:t>
      </w:r>
      <w:r w:rsidR="00846C35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;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questo approccio </w:t>
      </w:r>
      <w:r w:rsidR="007C50DF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della Cooper continuerà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a limitare la misurazione e la gestione della fragilità alla </w:t>
      </w:r>
      <w:r w:rsidR="009F6241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sola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 medicina geriatrica, </w:t>
      </w:r>
      <w:r w:rsidR="00846C35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limitando </w:t>
      </w:r>
      <w:r w:rsidR="007C50DF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così </w:t>
      </w:r>
      <w:r w:rsidR="00846C35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la sua diffusione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</w:t>
      </w:r>
      <w:r w:rsidR="00846C35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ai tanti settori della medicina e della chirurgia che ne hanno decisamente bisogno.</w:t>
      </w:r>
    </w:p>
    <w:p w14:paraId="096EDF5F" w14:textId="77777777" w:rsidR="007C50DF" w:rsidRPr="00DF49C9" w:rsidRDefault="007C50DF" w:rsidP="00963DC5">
      <w:pPr>
        <w:pStyle w:val="PreformattatoHTML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</w:pPr>
    </w:p>
    <w:p w14:paraId="4A83C873" w14:textId="62B659F5" w:rsidR="00963DC5" w:rsidRPr="00DF49C9" w:rsidRDefault="00D76722" w:rsidP="00963D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</w:pP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S</w:t>
      </w:r>
      <w:r w:rsidR="00963DC5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ono stati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messi a punto </w:t>
      </w:r>
      <w:r w:rsidR="00963DC5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indici di fragilità derivati ​​dall'EHR, in grado di valutare migliaia di anziani in pochi minuti sia in Inghilterra che negli Stati Uniti.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</w:t>
      </w:r>
      <w:r w:rsidR="00963DC5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Alcuni temono che</w:t>
      </w:r>
      <w:r w:rsidR="001E30AC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così si potrebbe</w:t>
      </w:r>
      <w:r w:rsidR="00963DC5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perdere l'accuratezza o la precisione nelle valutazioni automatizzate della fragilità, o che ciò potrebbe "semplificare eccessivamente l'assistenza geriatrica" ​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. </w:t>
      </w:r>
      <w:r w:rsidR="00963DC5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Tuttavia, prove recenti suggeriscono che le misure di fragilità basate sull'EHR funzionano in modo comparabile alle valutazioni faccia a facci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a</w:t>
      </w:r>
      <w:r w:rsidR="00963DC5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e dimostrano una validità predittiva e convergente. Gli indici di fragilità in generale sono anche ragionevolmente associati a misure fenotipiche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come </w:t>
      </w:r>
      <w:r w:rsidR="00963DC5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la Clinical </w:t>
      </w:r>
      <w:proofErr w:type="spellStart"/>
      <w:r w:rsidR="00963DC5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Frailty</w:t>
      </w:r>
      <w:proofErr w:type="spellEnd"/>
      <w:r w:rsidR="00963DC5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Scale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</w:t>
      </w:r>
      <w:r w:rsidR="00963DC5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o a misure oggettive della velocità dell'andatura e della forza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misurata con </w:t>
      </w:r>
      <w:proofErr w:type="spellStart"/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handgrip</w:t>
      </w:r>
      <w:proofErr w:type="spellEnd"/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. </w:t>
      </w:r>
      <w:r w:rsidR="00963DC5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Se i geriatri </w:t>
      </w:r>
      <w:proofErr w:type="gramStart"/>
      <w:r w:rsidR="00963DC5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con</w:t>
      </w:r>
      <w:r w:rsidR="007C50DF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tinueranno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a</w:t>
      </w:r>
      <w:proofErr w:type="gramEnd"/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discutere su </w:t>
      </w:r>
      <w:r w:rsidR="00963DC5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come misurare la fragilità, rischiamo di sprecare l'opportunità di elevare la fragilità a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l</w:t>
      </w:r>
      <w:r w:rsidR="00963DC5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livello di un seg</w:t>
      </w:r>
      <w:r w:rsidR="007C50DF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no vitale. In passato</w:t>
      </w:r>
      <w:r w:rsidR="00963DC5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, la mancanza di consenso sulle metriche ha impedito l'adozione tradizionale di preziose valutazioni funzionali, inclusa la velocità dell'andatura.</w:t>
      </w:r>
    </w:p>
    <w:p w14:paraId="3CADC569" w14:textId="77777777" w:rsidR="00963DC5" w:rsidRPr="00DF49C9" w:rsidRDefault="00963DC5" w:rsidP="00963D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</w:pPr>
    </w:p>
    <w:p w14:paraId="4D3C3027" w14:textId="4D5B06D7" w:rsidR="0010200D" w:rsidRDefault="00963DC5" w:rsidP="00B00600">
      <w:pPr>
        <w:pStyle w:val="PreformattatoHTML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</w:pP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Come suggerito da Cooper et al., un p</w:t>
      </w:r>
      <w:r w:rsidR="00D76722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rogresso </w:t>
      </w:r>
      <w:r w:rsidR="003D027D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sarebbe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un approccio "</w:t>
      </w:r>
      <w:proofErr w:type="spellStart"/>
      <w:r w:rsidR="003D027D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both</w:t>
      </w:r>
      <w:proofErr w:type="spellEnd"/>
      <w:r w:rsidR="003D027D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-and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" piuttosto che "</w:t>
      </w:r>
      <w:proofErr w:type="spellStart"/>
      <w:r w:rsidR="003D027D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either</w:t>
      </w:r>
      <w:proofErr w:type="spellEnd"/>
      <w:r w:rsidR="003D027D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-or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". Misurata </w:t>
      </w:r>
      <w:r w:rsidR="003D027D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sia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in base al fenotipo o</w:t>
      </w:r>
      <w:r w:rsidR="005F5F4C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</w:t>
      </w:r>
      <w:r w:rsidR="003D027D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come </w:t>
      </w:r>
      <w:r w:rsidR="0027675D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indice, la fragilità </w:t>
      </w:r>
      <w:r w:rsidR="001E30AC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predice comunque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esiti avversi per gli anziani, inclusi ricoveri, cadute, disabilità, istituzionalizzazione e mortalità.</w:t>
      </w:r>
      <w:r w:rsidR="00B00600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   Anche se le valutazioni cliniche faccia a faccia hanno superato le misure basate su EHR e </w:t>
      </w:r>
      <w:r w:rsidR="00EE478C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su metodologie </w:t>
      </w:r>
      <w:r w:rsidR="00B00600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automatizzate, resta</w:t>
      </w:r>
      <w:r w:rsidR="0010200D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, come già </w:t>
      </w:r>
      <w:proofErr w:type="gramStart"/>
      <w:r w:rsidR="0010200D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detto, </w:t>
      </w:r>
      <w:r w:rsidR="00B00600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il</w:t>
      </w:r>
      <w:proofErr w:type="gramEnd"/>
      <w:r w:rsidR="00B00600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problema della scalabilità: il modesto</w:t>
      </w:r>
      <w:r w:rsidR="0010200D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</w:t>
      </w:r>
      <w:r w:rsidR="0010200D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lastRenderedPageBreak/>
        <w:t>numero di G</w:t>
      </w:r>
      <w:r w:rsidR="00B00600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eriatri negli Stati Uniti non è in grado di valutare lo stato di fragilità dei milioni di adulti di età pari o superiore a 65 anni o anche 75 anni. </w:t>
      </w:r>
      <w:r w:rsidR="00F27E88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</w:t>
      </w:r>
    </w:p>
    <w:p w14:paraId="20B8F166" w14:textId="4A81A644" w:rsidR="00B00600" w:rsidRPr="00DF49C9" w:rsidRDefault="00F27E88" w:rsidP="00B00600">
      <w:pPr>
        <w:pStyle w:val="PreformattatoHTML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</w:pPr>
      <w:proofErr w:type="gramStart"/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E’</w:t>
      </w:r>
      <w:proofErr w:type="gramEnd"/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prevedibile un miglioramento nella comprensione del</w:t>
      </w:r>
      <w:r w:rsidR="00B00600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le basi biologiche della fragilità,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ma </w:t>
      </w:r>
      <w:r w:rsidR="00B00600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spetta a noi </w:t>
      </w:r>
      <w:r w:rsidR="0010200D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(G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eriatri) </w:t>
      </w:r>
      <w:r w:rsidR="0010200D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studiare </w:t>
      </w:r>
      <w:r w:rsidR="00B00600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gli interventi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utili </w:t>
      </w:r>
      <w:r w:rsidR="00B00600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per milioni </w:t>
      </w:r>
      <w:r w:rsidR="0010200D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di anziani fragili che richiedono </w:t>
      </w:r>
      <w:r w:rsidR="00B00600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piani di assistenza personalizzati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. </w:t>
      </w:r>
      <w:r w:rsidR="00B00600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L'interesse per la fragilità diminuirà se il </w:t>
      </w:r>
      <w:proofErr w:type="gramStart"/>
      <w:r w:rsidR="00B00600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nostro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 settore</w:t>
      </w:r>
      <w:proofErr w:type="gramEnd"/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non sarà</w:t>
      </w:r>
      <w:r w:rsidR="00B00600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in grado di fornire (1) metodi scalabili e riproducibili per valutare la fragilità, uniti a (2) una chiara comunicazione de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gli obiettivi </w:t>
      </w:r>
      <w:r w:rsidR="00B00600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dell'identificazione della fragilità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nei pazienti non so</w:t>
      </w:r>
      <w:r w:rsidR="0010200D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l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o anziani</w:t>
      </w:r>
      <w:r w:rsidR="00B00600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.</w:t>
      </w:r>
    </w:p>
    <w:p w14:paraId="721196A4" w14:textId="77777777" w:rsidR="00B00600" w:rsidRPr="00DF49C9" w:rsidRDefault="00B00600" w:rsidP="00B006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</w:pPr>
    </w:p>
    <w:p w14:paraId="0D4BF1E1" w14:textId="1B4899CA" w:rsidR="004E3D4E" w:rsidRPr="004E3D4E" w:rsidRDefault="00B00600" w:rsidP="004E3D4E">
      <w:pPr>
        <w:pStyle w:val="PreformattatoHTML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</w:pP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A che scopo cerchiamo di implementare le valutazioni della fragilità? </w:t>
      </w:r>
      <w:r w:rsidR="00745DE4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 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La letteratura limitata sugli interventi cerca prevalentemente di intervenire sulla fragilità stessa, con l'obiettivo di rallentare o invertire la traiettoria della fragilità mirando a deficit specifici. Ma un altro obiettivo è miti</w:t>
      </w:r>
      <w:r w:rsidR="00745DE4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gare il ruolo della fragilità su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gli esiti avversi </w:t>
      </w:r>
      <w:r w:rsidR="00F27E88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ne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gli anziani </w:t>
      </w:r>
      <w:proofErr w:type="gramStart"/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che  </w:t>
      </w:r>
      <w:r w:rsidR="00745DE4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devono</w:t>
      </w:r>
      <w:proofErr w:type="gramEnd"/>
      <w:r w:rsidR="00745DE4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affrontare un </w:t>
      </w:r>
      <w:r w:rsidR="00F27E88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intervento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clinico (ad es. chirurgia, chemioterapia, obiettivi di malattie croniche), tes</w:t>
      </w:r>
      <w:r w:rsidR="00745DE4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tando percorsi di cura ben definiti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dalla geriatria. Questa </w:t>
      </w:r>
      <w:r w:rsidR="00F31E58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possibile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evidenza </w:t>
      </w:r>
      <w:r w:rsidR="00F31E58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sarebbe una guida per quei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medici statunitensi, che gestiscono anziani fragili senza il beneficio di un geriatra consu</w:t>
      </w:r>
      <w:r w:rsidR="00F31E58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lente</w:t>
      </w:r>
      <w:r w:rsidR="00745DE4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. A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bbiamo molto da imparare sul trattamento individualizzato per gli anziani fragili, che possono vivere per anni </w:t>
      </w:r>
      <w:r w:rsidR="00745DE4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con la </w:t>
      </w:r>
      <w:r w:rsidR="00F31E58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fragilità.</w:t>
      </w:r>
      <w:r w:rsidR="00745DE4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 L'equilibrio deve essere tenuto presente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per molte decisioni clinic</w:t>
      </w:r>
      <w:r w:rsidR="00745DE4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he per le persone con fragilità;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ad esempio, mentre "</w:t>
      </w:r>
      <w:proofErr w:type="spellStart"/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less</w:t>
      </w:r>
      <w:proofErr w:type="spellEnd"/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</w:t>
      </w:r>
      <w:proofErr w:type="spellStart"/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is</w:t>
      </w:r>
      <w:proofErr w:type="spellEnd"/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more" per il controllo glicemico intensivo nel diabete di tipo </w:t>
      </w:r>
      <w:proofErr w:type="gramStart"/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2</w:t>
      </w:r>
      <w:r w:rsidR="00F31E58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,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un</w:t>
      </w:r>
      <w:proofErr w:type="gramEnd"/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controllo più stretto de</w:t>
      </w:r>
      <w:r w:rsidR="00745DE4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lla pressione sanguigna sembra in grado di prevenire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le malattie cardiovascolari e la mortalità in mol</w:t>
      </w:r>
      <w:r w:rsidR="00745DE4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ti soggetti fragili anziani ipertesi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. Molti altri </w:t>
      </w:r>
      <w:r w:rsidR="00F31E58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settori </w:t>
      </w:r>
      <w:r w:rsidR="00745DE4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clinici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devono ancora essere testati</w:t>
      </w:r>
      <w:r w:rsidR="00F31E58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: </w:t>
      </w:r>
      <w:r w:rsidR="00745DE4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per esempio la cardiologia e la </w:t>
      </w:r>
      <w:proofErr w:type="gramStart"/>
      <w:r w:rsidR="00745DE4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pneumologia ;</w:t>
      </w:r>
      <w:proofErr w:type="gramEnd"/>
      <w:r w:rsidR="00745DE4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è certo che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i </w:t>
      </w:r>
      <w:r w:rsidR="00745DE4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fattori </w:t>
      </w:r>
      <w:r w:rsidR="00745DE4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lastRenderedPageBreak/>
        <w:t xml:space="preserve">di fragilità  sono in grado di fornire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consigli </w:t>
      </w:r>
      <w:r w:rsidR="00745DE4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utili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sugli interventi e/o sulla gestione futura</w:t>
      </w:r>
      <w:r w:rsidR="00F31E58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del paziente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. </w:t>
      </w:r>
      <w:r w:rsidR="004E3D4E" w:rsidRPr="004E3D4E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Proporrei la nefrologia come nostra metafora. Come strumento automatizzato di primo passaggio, la creatinina e la velocità di filtrazione glomerulare stimata (</w:t>
      </w:r>
      <w:proofErr w:type="spellStart"/>
      <w:r w:rsidR="004E3D4E" w:rsidRPr="004E3D4E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eGFR</w:t>
      </w:r>
      <w:proofErr w:type="spellEnd"/>
      <w:r w:rsidR="004E3D4E" w:rsidRPr="004E3D4E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) guidano gran parte del nostro processo decisionale clinico, anche senza conoscere la </w:t>
      </w:r>
      <w:proofErr w:type="spellStart"/>
      <w:r w:rsidR="004E3D4E" w:rsidRPr="004E3D4E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nefropatologia</w:t>
      </w:r>
      <w:proofErr w:type="spellEnd"/>
      <w:r w:rsidR="004E3D4E" w:rsidRPr="004E3D4E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sottostante. Allo stesso modo, un indice di fragilità basato su EHR può identificare quali anziani meritano una considerazione particolare nel nostro approccio clinico, anche se la "causa" della fragilità non è ancora chiara. Proprio come non useremmo il contrasto iodato in un paziente con un basso </w:t>
      </w:r>
      <w:proofErr w:type="spellStart"/>
      <w:r w:rsidR="004E3D4E" w:rsidRPr="004E3D4E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eGFR</w:t>
      </w:r>
      <w:proofErr w:type="spellEnd"/>
      <w:r w:rsidR="004E3D4E" w:rsidRPr="004E3D4E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, non passeremmo immediatamente a un intervento chirurgico ad alto rischio in un paziente con fragilità misurata da un </w:t>
      </w:r>
      <w:proofErr w:type="spellStart"/>
      <w:r w:rsidR="004E3D4E" w:rsidRPr="004E3D4E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eFI</w:t>
      </w:r>
      <w:proofErr w:type="spellEnd"/>
      <w:r w:rsidR="004E3D4E" w:rsidRPr="004E3D4E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(Indice di fragilità elettronico). E l'uso di misure automatizzate non preclude ulteriori indagini sull'eziologia.  I fornitori di prestazioni medico-assistenziali dovrebbe avvalersi dell'esperienza della geriatria per valutare i fattori di fragilità e fornire consigli sugli interventi e/o sulla gestione futura, proprio come attualmente fanno relativamente ai problemi nefrologici. </w:t>
      </w:r>
    </w:p>
    <w:p w14:paraId="768478A2" w14:textId="268CE11C" w:rsidR="00E2537B" w:rsidRDefault="00B00600" w:rsidP="00F31E5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</w:pP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La rigorosa standardizzazione </w:t>
      </w:r>
      <w:proofErr w:type="gramStart"/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dell'approccio  geriatri</w:t>
      </w:r>
      <w:r w:rsidR="003155A0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co</w:t>
      </w:r>
      <w:proofErr w:type="gramEnd"/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alla valutazione della fragilità, come elegantemente illustrato in Cooper et al., può aiutare a chiarire le cause sottostanti e i deficit </w:t>
      </w:r>
      <w:r w:rsidR="00F31E58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conseguenti</w:t>
      </w:r>
      <w:r w:rsidR="00745DE4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alla situazione clinica in considerazione.</w:t>
      </w:r>
      <w:r w:rsidR="00EE6B71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Pertanto, </w:t>
      </w:r>
      <w:proofErr w:type="gramStart"/>
      <w:r w:rsidR="00EE6B71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l’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approccio</w:t>
      </w:r>
      <w:proofErr w:type="gramEnd"/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"entrambi </w:t>
      </w:r>
      <w:r w:rsidR="00EE6B71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- e" </w:t>
      </w:r>
      <w:r w:rsidR="008B2D3D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prevede un metodo basato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su EHR per l'identificazione della fragilità su larga scala, con una valutazione geriatrica completa </w:t>
      </w:r>
      <w:r w:rsidR="008B2D3D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(CGA) </w:t>
      </w: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rivolta a coloro che ne hanno bisogno.</w:t>
      </w:r>
      <w:r w:rsidR="003B1A90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 I geriatri hanno la possibilità, ora, di</w:t>
      </w:r>
      <w:r w:rsidR="00074535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far diventare</w:t>
      </w:r>
      <w:r w:rsidR="003B1A90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la fragilità</w:t>
      </w:r>
      <w:r w:rsidR="00074535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argomento fondamentale per </w:t>
      </w:r>
      <w:proofErr w:type="gramStart"/>
      <w:r w:rsidR="00074535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tutti </w:t>
      </w:r>
      <w:r w:rsidR="003B1A90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:</w:t>
      </w:r>
      <w:proofErr w:type="gramEnd"/>
      <w:r w:rsidR="003B1A90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ma se vogliamo mantenere </w:t>
      </w:r>
      <w:r w:rsidR="00E2537B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la competenza, dobbiamo rinunciare all’ esclusiva e alla</w:t>
      </w:r>
      <w:r w:rsidR="003B1A90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proprietà. Esistono</w:t>
      </w:r>
      <w:r w:rsid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diverse procedure </w:t>
      </w:r>
      <w:r w:rsidR="003B1A90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per identificare </w:t>
      </w:r>
      <w:r w:rsidR="000D4C56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i pazienti </w:t>
      </w:r>
      <w:r w:rsidR="003B1A90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con fragilità; le nostre competenze sono necessarie per (1) </w:t>
      </w:r>
      <w:r w:rsidR="00E2537B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sviluppare </w:t>
      </w:r>
      <w:r w:rsidR="003B1A90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nuove </w:t>
      </w:r>
      <w:r w:rsidR="003B1A90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lastRenderedPageBreak/>
        <w:t xml:space="preserve">conoscenze sugli interventi per la fragilità stessa e per </w:t>
      </w:r>
      <w:r w:rsidR="00123E6D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g</w:t>
      </w:r>
      <w:r w:rsidR="003155A0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ui</w:t>
      </w:r>
      <w:r w:rsidR="00123E6D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dare</w:t>
      </w:r>
      <w:r w:rsidR="003B1A90"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il processo decisionale clinico individualizzato per i pazienti fragili; (2) gestire i pazienti già identificati come fragili; e (3) educare e formare i nostri colleghi e tirocinanti nell'identificazione iniziale e nella gestione dei pazienti fragili. </w:t>
      </w:r>
    </w:p>
    <w:p w14:paraId="19CC763A" w14:textId="4E3807F7" w:rsidR="003B1A90" w:rsidRPr="00DF49C9" w:rsidRDefault="003B1A90" w:rsidP="00F31E5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</w:pPr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Solo allora la nostra esperienza </w:t>
      </w:r>
      <w:proofErr w:type="gramStart"/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potrà  servire</w:t>
      </w:r>
      <w:proofErr w:type="gramEnd"/>
      <w:r w:rsidRPr="00DF49C9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al meglio i nostri pazienti e i nostri colleghi.</w:t>
      </w:r>
      <w:r w:rsidR="00E2537B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  (JAGS 2021; </w:t>
      </w:r>
      <w:proofErr w:type="spellStart"/>
      <w:r w:rsidR="00E2537B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>Sept</w:t>
      </w:r>
      <w:proofErr w:type="spellEnd"/>
      <w:r w:rsidR="00E2537B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21)</w:t>
      </w:r>
    </w:p>
    <w:p w14:paraId="403CDE9D" w14:textId="53E04026" w:rsidR="00B00600" w:rsidRPr="00DF49C9" w:rsidRDefault="00B00600" w:rsidP="00B006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</w:pPr>
    </w:p>
    <w:p w14:paraId="717B1A9E" w14:textId="7A34F231" w:rsidR="00963DC5" w:rsidRPr="00DF49C9" w:rsidRDefault="00963DC5" w:rsidP="00963D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</w:pPr>
    </w:p>
    <w:p w14:paraId="464C1579" w14:textId="1AB9188F" w:rsidR="004F507E" w:rsidRPr="00DF49C9" w:rsidRDefault="004F507E" w:rsidP="004F507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</w:pPr>
    </w:p>
    <w:p w14:paraId="4B1E1AC7" w14:textId="77777777" w:rsidR="004F507E" w:rsidRPr="00DF49C9" w:rsidRDefault="004F507E">
      <w:pPr>
        <w:rPr>
          <w:sz w:val="28"/>
          <w:szCs w:val="28"/>
        </w:rPr>
      </w:pPr>
    </w:p>
    <w:sectPr w:rsidR="004F507E" w:rsidRPr="00DF49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07E"/>
    <w:rsid w:val="00074535"/>
    <w:rsid w:val="000D4C56"/>
    <w:rsid w:val="0010200D"/>
    <w:rsid w:val="00123E6D"/>
    <w:rsid w:val="001E30AC"/>
    <w:rsid w:val="002413A6"/>
    <w:rsid w:val="0027675D"/>
    <w:rsid w:val="002E6265"/>
    <w:rsid w:val="003155A0"/>
    <w:rsid w:val="00386788"/>
    <w:rsid w:val="003A3CF4"/>
    <w:rsid w:val="003B1A90"/>
    <w:rsid w:val="003D027D"/>
    <w:rsid w:val="004A4B7B"/>
    <w:rsid w:val="004E3D4E"/>
    <w:rsid w:val="004F507E"/>
    <w:rsid w:val="005F5F4C"/>
    <w:rsid w:val="006C5B67"/>
    <w:rsid w:val="00745DE4"/>
    <w:rsid w:val="007B77B8"/>
    <w:rsid w:val="007C50DF"/>
    <w:rsid w:val="00846C35"/>
    <w:rsid w:val="008B2D3D"/>
    <w:rsid w:val="008C43F8"/>
    <w:rsid w:val="00963DC5"/>
    <w:rsid w:val="009F16AB"/>
    <w:rsid w:val="009F6241"/>
    <w:rsid w:val="00B00600"/>
    <w:rsid w:val="00B2089A"/>
    <w:rsid w:val="00B55565"/>
    <w:rsid w:val="00BD67C4"/>
    <w:rsid w:val="00C77DD3"/>
    <w:rsid w:val="00C821C9"/>
    <w:rsid w:val="00D76722"/>
    <w:rsid w:val="00DF49C9"/>
    <w:rsid w:val="00E154F7"/>
    <w:rsid w:val="00E2537B"/>
    <w:rsid w:val="00EE478C"/>
    <w:rsid w:val="00EE6B71"/>
    <w:rsid w:val="00F023A9"/>
    <w:rsid w:val="00F27E88"/>
    <w:rsid w:val="00F31E58"/>
    <w:rsid w:val="00F57D82"/>
    <w:rsid w:val="00F7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CEFD"/>
  <w15:chartTrackingRefBased/>
  <w15:docId w15:val="{D0388A4A-D835-448C-9B2F-10F90865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963D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63DC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</dc:creator>
  <cp:keywords/>
  <dc:description/>
  <cp:lastModifiedBy>GIANFRANCO</cp:lastModifiedBy>
  <cp:revision>27</cp:revision>
  <dcterms:created xsi:type="dcterms:W3CDTF">2022-01-10T14:12:00Z</dcterms:created>
  <dcterms:modified xsi:type="dcterms:W3CDTF">2022-01-11T15:25:00Z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-1085261957</vt:i4>
  </property>
</Properties>
</file>